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67" w:rsidRDefault="00611767">
      <w:pPr>
        <w:framePr w:w="10800" w:hSpace="187" w:wrap="around" w:hAnchor="margin" w:y="1" w:anchorLock="1"/>
        <w:jc w:val="right"/>
      </w:pPr>
      <w:bookmarkStart w:id="0" w:name="_GoBack"/>
      <w:bookmarkEnd w:id="0"/>
    </w:p>
    <w:p w:rsidR="00611767" w:rsidRDefault="00AB1687" w:rsidP="006C3D4F">
      <w:pPr>
        <w:pStyle w:val="Number"/>
        <w:framePr w:w="10800" w:hSpace="187" w:wrap="around" w:hAnchor="margin" w:y="1" w:anchorLock="1"/>
      </w:pPr>
      <w:r w:rsidRPr="009462D8">
        <w:rPr>
          <w:b/>
        </w:rPr>
        <w:t>AADE-</w:t>
      </w:r>
      <w:r w:rsidR="00AB321F" w:rsidRPr="00F85776">
        <w:rPr>
          <w:b/>
        </w:rPr>
        <w:t>1</w:t>
      </w:r>
      <w:r w:rsidR="005855BB" w:rsidRPr="00F85776">
        <w:rPr>
          <w:b/>
        </w:rPr>
        <w:t>3</w:t>
      </w:r>
      <w:r w:rsidRPr="00F85776">
        <w:rPr>
          <w:b/>
        </w:rPr>
        <w:t>-</w:t>
      </w:r>
      <w:r w:rsidR="00D525D3" w:rsidRPr="00F85776">
        <w:rPr>
          <w:b/>
        </w:rPr>
        <w:t>F</w:t>
      </w:r>
      <w:r w:rsidRPr="00F85776">
        <w:rPr>
          <w:b/>
        </w:rPr>
        <w:t>TCE</w:t>
      </w:r>
      <w:r w:rsidR="00611767" w:rsidRPr="009462D8">
        <w:rPr>
          <w:b/>
        </w:rPr>
        <w:t>-</w:t>
      </w:r>
      <w:r w:rsidR="00A80B6A">
        <w:rPr>
          <w:b/>
        </w:rPr>
        <w:t>22</w:t>
      </w:r>
      <w:r>
        <w:t xml:space="preserve">      </w:t>
      </w:r>
      <w:r w:rsidR="006C3D4F">
        <w:tab/>
      </w:r>
      <w:r w:rsidR="006C3D4F">
        <w:tab/>
      </w:r>
      <w:r w:rsidR="006C3D4F">
        <w:tab/>
      </w:r>
      <w:r w:rsidR="006C3D4F">
        <w:tab/>
      </w:r>
      <w:r w:rsidR="006C3D4F">
        <w:tab/>
      </w:r>
      <w:r w:rsidR="006C3D4F">
        <w:tab/>
      </w:r>
      <w:r w:rsidR="00611767">
        <w:t xml:space="preserve"> </w:t>
      </w:r>
      <w:r w:rsidR="00F85776">
        <w:rPr>
          <w:noProof/>
          <w:lang w:eastAsia="en-US"/>
        </w:rPr>
        <w:drawing>
          <wp:anchor distT="0" distB="0" distL="114300" distR="114300" simplePos="0" relativeHeight="251657728" behindDoc="0" locked="1" layoutInCell="1" allowOverlap="0">
            <wp:simplePos x="0" y="0"/>
            <wp:positionH relativeFrom="column">
              <wp:posOffset>5221605</wp:posOffset>
            </wp:positionH>
            <wp:positionV relativeFrom="page">
              <wp:posOffset>416560</wp:posOffset>
            </wp:positionV>
            <wp:extent cx="1334135" cy="70548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34135" cy="705485"/>
                    </a:xfrm>
                    <a:prstGeom prst="rect">
                      <a:avLst/>
                    </a:prstGeom>
                    <a:noFill/>
                    <a:ln w="9525">
                      <a:noFill/>
                      <a:miter lim="800000"/>
                      <a:headEnd/>
                      <a:tailEnd/>
                    </a:ln>
                  </pic:spPr>
                </pic:pic>
              </a:graphicData>
            </a:graphic>
          </wp:anchor>
        </w:drawing>
      </w:r>
    </w:p>
    <w:p w:rsidR="00611767" w:rsidRPr="00A83A81" w:rsidRDefault="00F85776" w:rsidP="008A7736">
      <w:pPr>
        <w:pStyle w:val="Title"/>
        <w:framePr w:w="10800" w:hSpace="187" w:wrap="around" w:hAnchor="margin" w:y="1" w:anchorLock="1"/>
        <w:spacing w:after="80"/>
        <w:rPr>
          <w:b/>
        </w:rPr>
      </w:pPr>
      <w:r w:rsidRPr="00602A40">
        <w:rPr>
          <w:b/>
          <w:sz w:val="32"/>
        </w:rPr>
        <w:t>Development of New, Environmentally Friendly, Salt-Free Shale Inhibitors for Water Based Drilling Fluids</w:t>
      </w:r>
    </w:p>
    <w:p w:rsidR="00611767" w:rsidRDefault="007A0F83">
      <w:pPr>
        <w:pStyle w:val="Author"/>
        <w:framePr w:w="10800" w:hSpace="187" w:wrap="around" w:hAnchor="margin" w:y="1" w:anchorLock="1"/>
      </w:pPr>
      <w:r>
        <w:t>Andy Bradbury, Justin Mclellan, Paul Craddock, Jane Arthur, Impact Fluid Solutions; Michael Poindexter, Cole Witham, Cecile Boyer, The Dow Chemical Company</w:t>
      </w:r>
    </w:p>
    <w:p w:rsidR="00611767" w:rsidRDefault="00611767">
      <w:pPr>
        <w:pStyle w:val="copyright"/>
        <w:sectPr w:rsidR="00611767">
          <w:headerReference w:type="even" r:id="rId10"/>
          <w:headerReference w:type="default" r:id="rId11"/>
          <w:type w:val="continuous"/>
          <w:pgSz w:w="12240" w:h="15840" w:code="1"/>
          <w:pgMar w:top="720" w:right="720" w:bottom="1440" w:left="720" w:header="720" w:footer="720" w:gutter="0"/>
          <w:paperSrc w:first="15" w:other="15"/>
          <w:cols w:num="2" w:space="720"/>
          <w:titlePg/>
        </w:sectPr>
      </w:pPr>
    </w:p>
    <w:p w:rsidR="00611767" w:rsidRDefault="00611767">
      <w:pPr>
        <w:pStyle w:val="copyright"/>
      </w:pPr>
      <w:r>
        <w:lastRenderedPageBreak/>
        <w:t xml:space="preserve">Copyright </w:t>
      </w:r>
      <w:r w:rsidRPr="00F85776">
        <w:t>20</w:t>
      </w:r>
      <w:r w:rsidR="0089231E" w:rsidRPr="00F85776">
        <w:t>1</w:t>
      </w:r>
      <w:r w:rsidR="005855BB" w:rsidRPr="00F85776">
        <w:t>3</w:t>
      </w:r>
      <w:r w:rsidR="009462D8" w:rsidRPr="00F85776">
        <w:t>, AADE</w:t>
      </w:r>
    </w:p>
    <w:p w:rsidR="00611767" w:rsidRDefault="00611767">
      <w:pPr>
        <w:pStyle w:val="copyright"/>
      </w:pPr>
    </w:p>
    <w:p w:rsidR="00611767" w:rsidRDefault="00611767">
      <w:pPr>
        <w:pStyle w:val="copyright"/>
      </w:pPr>
      <w:r>
        <w:t xml:space="preserve">This paper was prepared for presentation </w:t>
      </w:r>
      <w:r w:rsidRPr="00F85776">
        <w:t xml:space="preserve">at the </w:t>
      </w:r>
      <w:r w:rsidR="008A7736" w:rsidRPr="00F85776">
        <w:t>20</w:t>
      </w:r>
      <w:r w:rsidR="005855BB" w:rsidRPr="00F85776">
        <w:t>13</w:t>
      </w:r>
      <w:r w:rsidR="008A7736" w:rsidRPr="00F85776">
        <w:t xml:space="preserve"> </w:t>
      </w:r>
      <w:r w:rsidRPr="00F85776">
        <w:t xml:space="preserve">AADE </w:t>
      </w:r>
      <w:r w:rsidR="005855BB">
        <w:t>National</w:t>
      </w:r>
      <w:r>
        <w:t xml:space="preserve"> </w:t>
      </w:r>
      <w:r w:rsidR="008A7736">
        <w:t xml:space="preserve">Technical </w:t>
      </w:r>
      <w:r>
        <w:t xml:space="preserve">Conference </w:t>
      </w:r>
      <w:r w:rsidR="008A7736">
        <w:t xml:space="preserve">and Exhibition </w:t>
      </w:r>
      <w:r>
        <w:t xml:space="preserve">held at the </w:t>
      </w:r>
      <w:r w:rsidR="005855BB">
        <w:t>Cox Convention Center, Oklahoma City</w:t>
      </w:r>
      <w:r w:rsidR="005855BB" w:rsidRPr="00F85776">
        <w:t xml:space="preserve">, OK, </w:t>
      </w:r>
      <w:proofErr w:type="gramStart"/>
      <w:r w:rsidR="005855BB" w:rsidRPr="00F85776">
        <w:t>February</w:t>
      </w:r>
      <w:proofErr w:type="gramEnd"/>
      <w:r w:rsidR="005855BB" w:rsidRPr="00F85776">
        <w:t xml:space="preserve"> 26-27, 2013</w:t>
      </w:r>
      <w:r w:rsidRPr="00F85776">
        <w:t>.</w:t>
      </w:r>
      <w:r>
        <w:t xml:space="preserve">  This conference was sponsored by the American Association of Drilling Engineers.  The information presented in this paper does not reflect any position, claim or endorsement made or implied by the American Association of Drilling Engineers, their officers or members.  Questions concerning the content of this paper should be directed to t</w:t>
      </w:r>
      <w:r w:rsidR="00117398">
        <w:t>he individual</w:t>
      </w:r>
      <w:r w:rsidR="00B77F7A">
        <w:t>(</w:t>
      </w:r>
      <w:r w:rsidR="00117398">
        <w:t>s</w:t>
      </w:r>
      <w:r w:rsidR="00B77F7A">
        <w:t>)</w:t>
      </w:r>
      <w:r w:rsidR="00117398">
        <w:t xml:space="preserve"> listed as author(</w:t>
      </w:r>
      <w:r>
        <w:t>s</w:t>
      </w:r>
      <w:r w:rsidR="00117398">
        <w:t>)</w:t>
      </w:r>
      <w:r>
        <w:t xml:space="preserve"> of this work.</w:t>
      </w:r>
    </w:p>
    <w:p w:rsidR="00611767" w:rsidRDefault="00611767">
      <w:pPr>
        <w:pStyle w:val="copyright"/>
        <w:sectPr w:rsidR="00611767">
          <w:type w:val="continuous"/>
          <w:pgSz w:w="12240" w:h="15840" w:code="1"/>
          <w:pgMar w:top="720" w:right="720" w:bottom="1440" w:left="720" w:header="720" w:footer="720" w:gutter="0"/>
          <w:paperSrc w:first="15" w:other="15"/>
          <w:cols w:space="720"/>
          <w:titlePg/>
        </w:sectPr>
      </w:pPr>
    </w:p>
    <w:p w:rsidR="00611767" w:rsidRDefault="00611767">
      <w:pPr>
        <w:pStyle w:val="copyright"/>
        <w:pBdr>
          <w:bottom w:val="single" w:sz="6" w:space="3" w:color="auto"/>
        </w:pBdr>
      </w:pPr>
    </w:p>
    <w:p w:rsidR="00611767" w:rsidRDefault="00611767">
      <w:pPr>
        <w:pStyle w:val="Head1"/>
      </w:pPr>
    </w:p>
    <w:p w:rsidR="00611767" w:rsidRDefault="00611767">
      <w:pPr>
        <w:pStyle w:val="Head1"/>
        <w:outlineLvl w:val="0"/>
        <w:sectPr w:rsidR="00611767">
          <w:type w:val="continuous"/>
          <w:pgSz w:w="12240" w:h="15840" w:code="1"/>
          <w:pgMar w:top="720" w:right="720" w:bottom="1440" w:left="720" w:header="720" w:footer="720" w:gutter="0"/>
          <w:paperSrc w:first="15" w:other="15"/>
          <w:cols w:space="720"/>
          <w:titlePg/>
        </w:sectPr>
      </w:pPr>
    </w:p>
    <w:p w:rsidR="00611767" w:rsidRPr="00CA1127" w:rsidRDefault="00611767" w:rsidP="0089231E">
      <w:pPr>
        <w:pStyle w:val="AADE1stLevelHeading"/>
        <w:rPr>
          <w:rFonts w:ascii="Times New Roman" w:hAnsi="Times New Roman" w:cs="Times New Roman"/>
        </w:rPr>
      </w:pPr>
      <w:r>
        <w:lastRenderedPageBreak/>
        <w:t>Abstract</w:t>
      </w:r>
    </w:p>
    <w:p w:rsidR="00F85776" w:rsidRDefault="00F85776" w:rsidP="00F85776">
      <w:pPr>
        <w:pStyle w:val="AADEParagraph"/>
      </w:pPr>
      <w:r>
        <w:t>Global developments in the shale inhibition market are trending towards environmentally friendly materials that are biodegradable, non-</w:t>
      </w:r>
      <w:proofErr w:type="spellStart"/>
      <w:r>
        <w:t>bioaccumulative</w:t>
      </w:r>
      <w:proofErr w:type="spellEnd"/>
      <w:r>
        <w:t xml:space="preserve">, non-toxic and, ultimately, non-hazardous.  Furthermore, many markets are moving towards, or already mandate, salt-free systems for reasons including environmental regulations, disposal needs and potential groundwater contamination.  This paper will detail efforts to develop new shale inhibitors that satisfy these requirements while still maintaining excellent performance relative to industry benchmarks.  </w:t>
      </w:r>
    </w:p>
    <w:p w:rsidR="00BE563E" w:rsidRPr="003A0E1B" w:rsidRDefault="00F85776" w:rsidP="00F85776">
      <w:pPr>
        <w:pStyle w:val="AADEParagraph"/>
      </w:pPr>
      <w:r w:rsidRPr="00A0781B">
        <w:t>Through</w:t>
      </w:r>
      <w:r>
        <w:t xml:space="preserve"> a structured research program,</w:t>
      </w:r>
      <w:r w:rsidRPr="00A0781B">
        <w:t xml:space="preserve"> </w:t>
      </w:r>
      <w:r>
        <w:t xml:space="preserve">groups of </w:t>
      </w:r>
      <w:r w:rsidRPr="00A0781B">
        <w:t xml:space="preserve">novel candidate chemistries in </w:t>
      </w:r>
      <w:r>
        <w:t xml:space="preserve">several </w:t>
      </w:r>
      <w:r w:rsidRPr="00A0781B">
        <w:t>homologous series were studied</w:t>
      </w:r>
      <w:r>
        <w:t xml:space="preserve"> and validated using shale recovery, hardness and Slake Durability (roller cage) tests</w:t>
      </w:r>
      <w:r w:rsidRPr="00A0781B">
        <w:t xml:space="preserve">. </w:t>
      </w:r>
      <w:r>
        <w:t xml:space="preserve"> </w:t>
      </w:r>
      <w:r w:rsidRPr="00A0781B">
        <w:t xml:space="preserve">This program identified inhibitors with </w:t>
      </w:r>
      <w:r>
        <w:t>superior</w:t>
      </w:r>
      <w:r w:rsidRPr="00A0781B">
        <w:t xml:space="preserve"> performance across </w:t>
      </w:r>
      <w:r>
        <w:t>multiple</w:t>
      </w:r>
      <w:r w:rsidRPr="00A0781B">
        <w:t xml:space="preserve"> parameters</w:t>
      </w:r>
      <w:r>
        <w:t>,</w:t>
      </w:r>
      <w:r w:rsidRPr="00A0781B">
        <w:t xml:space="preserve"> both technical and environmental</w:t>
      </w:r>
      <w:r>
        <w:t xml:space="preserve">.  Additionally, all identified new materials having excellent performance did not require the addition of a counter-ion e.g. potassium chloride salt.  </w:t>
      </w:r>
      <w:r w:rsidRPr="00A0781B">
        <w:t xml:space="preserve">Results will be presented as a study into the effects that sequential </w:t>
      </w:r>
      <w:r>
        <w:t xml:space="preserve">molecular structure </w:t>
      </w:r>
      <w:r w:rsidRPr="00A0781B">
        <w:t xml:space="preserve">changes </w:t>
      </w:r>
      <w:r>
        <w:t>have</w:t>
      </w:r>
      <w:r w:rsidRPr="00A0781B">
        <w:t xml:space="preserve"> on shale inhibitor performance.  The chemistries that were identified from the study exhibited improved inhibitor performance relative to known glycol/salt materials a</w:t>
      </w:r>
      <w:r>
        <w:t>nd other commonly used amines.</w:t>
      </w:r>
    </w:p>
    <w:p w:rsidR="00611767" w:rsidRDefault="00611767">
      <w:pPr>
        <w:ind w:right="-187"/>
        <w:rPr>
          <w:rFonts w:ascii="Arial" w:hAnsi="Arial"/>
        </w:rPr>
      </w:pPr>
    </w:p>
    <w:p w:rsidR="00611767" w:rsidRDefault="00611767" w:rsidP="00A7379D">
      <w:pPr>
        <w:pStyle w:val="AADE1stLevelHeading"/>
      </w:pPr>
      <w:r>
        <w:t xml:space="preserve">Introduction </w:t>
      </w:r>
    </w:p>
    <w:p w:rsidR="007A0F83" w:rsidRPr="00FA40CC" w:rsidRDefault="007A0F83" w:rsidP="007A0F83">
      <w:pPr>
        <w:pStyle w:val="AADEParagraph"/>
      </w:pPr>
      <w:r w:rsidRPr="00FA40CC">
        <w:t xml:space="preserve">When drilling for oil and gas, </w:t>
      </w:r>
      <w:proofErr w:type="spellStart"/>
      <w:r w:rsidRPr="00FA40CC">
        <w:t>shales</w:t>
      </w:r>
      <w:proofErr w:type="spellEnd"/>
      <w:r w:rsidRPr="00FA40CC">
        <w:t xml:space="preserve"> are the most commonly encountered rock type.  They account for over 75% of all drilled formations and more than 70% of borehole problems relate back to shale instability</w:t>
      </w:r>
      <w:proofErr w:type="gramStart"/>
      <w:r w:rsidRPr="00FA40CC">
        <w:t>.(</w:t>
      </w:r>
      <w:proofErr w:type="gramEnd"/>
      <w:r w:rsidRPr="00FA40CC">
        <w:rPr>
          <w:b/>
        </w:rPr>
        <w:t>1</w:t>
      </w:r>
      <w:r w:rsidRPr="00FA40CC">
        <w:t xml:space="preserve">)  </w:t>
      </w:r>
      <w:proofErr w:type="spellStart"/>
      <w:r w:rsidRPr="00FA40CC">
        <w:t>Shales</w:t>
      </w:r>
      <w:proofErr w:type="spellEnd"/>
      <w:r w:rsidRPr="00FA40CC">
        <w:t xml:space="preserve"> are also reported to cause more problems per foot drilled than any other type of formation.(</w:t>
      </w:r>
      <w:r w:rsidRPr="00FA40CC">
        <w:rPr>
          <w:b/>
        </w:rPr>
        <w:t>2</w:t>
      </w:r>
      <w:r w:rsidRPr="00FA40CC">
        <w:t>)  Over the last ten years, reactive shale ranked as one of the top ten mud-related issues affecting deepwater drilling operations.  Reactive shale is also a major contributor to another concern in the top ten list, namely stuck drill pipe.(</w:t>
      </w:r>
      <w:r w:rsidRPr="00FA40CC">
        <w:rPr>
          <w:b/>
        </w:rPr>
        <w:t>3,4</w:t>
      </w:r>
      <w:r w:rsidRPr="00FA40CC">
        <w:t>)  These statements on shale instability, while dramatic and true, should be considered with respect to the drilling fluid used and the type of shale that is encountered during drilling operations.  It is the interaction of these two factors that largely determines the extent of the problem.</w:t>
      </w:r>
    </w:p>
    <w:p w:rsidR="007A0F83" w:rsidRPr="00FA40CC" w:rsidRDefault="007A0F83" w:rsidP="007A0F83">
      <w:pPr>
        <w:pStyle w:val="AADEParagraph"/>
      </w:pPr>
      <w:r w:rsidRPr="00FA40CC">
        <w:t>The reactivity of shale towards water is a much studie</w:t>
      </w:r>
      <w:r>
        <w:t>d</w:t>
      </w:r>
      <w:r w:rsidRPr="00FA40CC">
        <w:t xml:space="preserve"> </w:t>
      </w:r>
      <w:r w:rsidRPr="00FA40CC">
        <w:lastRenderedPageBreak/>
        <w:t>and debated topic.(</w:t>
      </w:r>
      <w:r w:rsidRPr="00FA40CC">
        <w:rPr>
          <w:b/>
        </w:rPr>
        <w:t>5</w:t>
      </w:r>
      <w:r w:rsidRPr="00FA40CC">
        <w:t xml:space="preserve">)  For years, the swelling of shale, which is due to the ingress of water and hydration of metal </w:t>
      </w:r>
      <w:proofErr w:type="spellStart"/>
      <w:r w:rsidRPr="00FA40CC">
        <w:t>cations</w:t>
      </w:r>
      <w:proofErr w:type="spellEnd"/>
      <w:r w:rsidRPr="00FA40CC">
        <w:t xml:space="preserve">, has been considered the “best documented” and main </w:t>
      </w:r>
      <w:r>
        <w:t>failure</w:t>
      </w:r>
      <w:r w:rsidRPr="00FA40CC">
        <w:t xml:space="preserve"> mechanism.(</w:t>
      </w:r>
      <w:r w:rsidRPr="00FA40CC">
        <w:rPr>
          <w:b/>
        </w:rPr>
        <w:t>6</w:t>
      </w:r>
      <w:r w:rsidRPr="00FA40CC">
        <w:t>)  Combinations of swelling, dispersion, migration and swelling-induced migration have all been given extensive attention.(</w:t>
      </w:r>
      <w:r w:rsidRPr="00FA40CC">
        <w:rPr>
          <w:b/>
        </w:rPr>
        <w:t>7,8</w:t>
      </w:r>
      <w:r w:rsidRPr="00FA40CC">
        <w:t>)  Water activity, brine composition, brine concentration and pH have all been shown to play a role in shale stability.(</w:t>
      </w:r>
      <w:r w:rsidRPr="00FA40CC">
        <w:rPr>
          <w:b/>
        </w:rPr>
        <w:t>8,9</w:t>
      </w:r>
      <w:r w:rsidRPr="00FA40CC">
        <w:t>)  If shale instability is not properly addressed, then the consequences can be dramatic including complete loss of the well.</w:t>
      </w:r>
    </w:p>
    <w:p w:rsidR="007A0F83" w:rsidRPr="00FA40CC" w:rsidRDefault="007A0F83" w:rsidP="007A0F83">
      <w:pPr>
        <w:pStyle w:val="AADEParagraph"/>
      </w:pPr>
      <w:r>
        <w:t>This paper will report on the development of</w:t>
      </w:r>
      <w:r w:rsidRPr="00FA40CC">
        <w:t xml:space="preserve"> shale inhibitors which increase the performance of water-based muds (WBMs).  For years, the service industry has devoted a significant amount of thought and effort to bring the performance of WBMs up to that of oil-based muds (OBMs)</w:t>
      </w:r>
      <w:r>
        <w:t xml:space="preserve"> </w:t>
      </w:r>
      <w:r w:rsidRPr="00FA40CC">
        <w:t>(</w:t>
      </w:r>
      <w:r w:rsidRPr="00FA40CC">
        <w:rPr>
          <w:b/>
        </w:rPr>
        <w:t>10,11</w:t>
      </w:r>
      <w:r w:rsidRPr="00FA40CC">
        <w:t xml:space="preserve">)  To abate the unwanted reactions of reactive </w:t>
      </w:r>
      <w:proofErr w:type="spellStart"/>
      <w:r w:rsidRPr="00FA40CC">
        <w:t>shales</w:t>
      </w:r>
      <w:proofErr w:type="spellEnd"/>
      <w:r w:rsidRPr="00FA40CC">
        <w:t xml:space="preserve"> with water, WBMs </w:t>
      </w:r>
      <w:r>
        <w:t>contain</w:t>
      </w:r>
      <w:r w:rsidRPr="00FA40CC">
        <w:t xml:space="preserve"> shale inhibitors that range from salts (e.g. </w:t>
      </w:r>
      <w:proofErr w:type="spellStart"/>
      <w:r w:rsidRPr="00FA40CC">
        <w:t>KCl</w:t>
      </w:r>
      <w:proofErr w:type="spellEnd"/>
      <w:r w:rsidRPr="00FA40CC">
        <w:t>)</w:t>
      </w:r>
      <w:r>
        <w:t>,</w:t>
      </w:r>
      <w:r w:rsidRPr="00FA40CC">
        <w:t>(</w:t>
      </w:r>
      <w:r w:rsidRPr="00FA40CC">
        <w:rPr>
          <w:b/>
        </w:rPr>
        <w:t>12</w:t>
      </w:r>
      <w:r w:rsidRPr="00FA40CC">
        <w:t xml:space="preserve">) to simple glycols often containing </w:t>
      </w:r>
      <w:r>
        <w:t xml:space="preserve">or requiring </w:t>
      </w:r>
      <w:r w:rsidRPr="00FA40CC">
        <w:t>salt</w:t>
      </w:r>
      <w:r>
        <w:t>s,</w:t>
      </w:r>
      <w:r w:rsidRPr="00FA40CC">
        <w:t>(</w:t>
      </w:r>
      <w:r w:rsidRPr="00FA40CC">
        <w:rPr>
          <w:b/>
        </w:rPr>
        <w:t>13,14,15</w:t>
      </w:r>
      <w:r w:rsidRPr="00FA40CC">
        <w:t>) to various amines</w:t>
      </w:r>
      <w:r>
        <w:t>,</w:t>
      </w:r>
      <w:r w:rsidRPr="00FA40CC">
        <w:t>(</w:t>
      </w:r>
      <w:r w:rsidRPr="00FA40CC">
        <w:rPr>
          <w:b/>
        </w:rPr>
        <w:t>16</w:t>
      </w:r>
      <w:r w:rsidRPr="00FA40CC">
        <w:t>) to polymers.(</w:t>
      </w:r>
      <w:r w:rsidRPr="00FA40CC">
        <w:rPr>
          <w:b/>
        </w:rPr>
        <w:t>17,18,19</w:t>
      </w:r>
      <w:r w:rsidRPr="00FA40CC">
        <w:t xml:space="preserve">).  Collaborative work by M-I </w:t>
      </w:r>
      <w:proofErr w:type="spellStart"/>
      <w:r w:rsidRPr="00FA40CC">
        <w:t>Swaco</w:t>
      </w:r>
      <w:proofErr w:type="spellEnd"/>
      <w:r w:rsidRPr="00FA40CC">
        <w:t xml:space="preserve"> and three universities have put forth several different mechanisms for the </w:t>
      </w:r>
      <w:proofErr w:type="spellStart"/>
      <w:r w:rsidRPr="00FA40CC">
        <w:t>polyetheramine</w:t>
      </w:r>
      <w:proofErr w:type="spellEnd"/>
      <w:r w:rsidRPr="00FA40CC">
        <w:t xml:space="preserve"> class of shale inhibitors which is currently considered to be</w:t>
      </w:r>
      <w:r>
        <w:t xml:space="preserve"> one of the</w:t>
      </w:r>
      <w:r w:rsidRPr="00FA40CC">
        <w:t xml:space="preserve"> best-in-class for low molecular weight inhibitors.(</w:t>
      </w:r>
      <w:r w:rsidRPr="00FA40CC">
        <w:rPr>
          <w:b/>
        </w:rPr>
        <w:t>20,21</w:t>
      </w:r>
      <w:r w:rsidRPr="00FA40CC">
        <w:t>)  More studies of this nature are needed to further progress the industry’s understanding of shale inhibition.</w:t>
      </w:r>
    </w:p>
    <w:p w:rsidR="006C3D4F" w:rsidRDefault="007A0F83" w:rsidP="007A0F83">
      <w:pPr>
        <w:pStyle w:val="AADEParagraph"/>
      </w:pPr>
      <w:r w:rsidRPr="00FA40CC">
        <w:t>One approach to study how molecular structure influences shale inhibition performance is to pick a particular molecular descriptor or series of descriptors (e.g. molecular weight, degree of branching, varying heteroatom content, length of hydrophilic/hydrophobic segments, number of end groups bearing a particular functionality, etc.), make different homologous series where the descriptors are systematically varied and then conduct comparative tests.  Most of the comparative testing for this work used shale recovery and hardness performance parameters (</w:t>
      </w:r>
      <w:r w:rsidRPr="00FA40CC">
        <w:rPr>
          <w:b/>
        </w:rPr>
        <w:t>14,16</w:t>
      </w:r>
      <w:r w:rsidRPr="00FA40CC">
        <w:t>) as a means to differentiate the various candidates.  While such studies generally cannot provide conclusive evidence regarding the mechanism of inhibition, they are highly informative regarding critical molecular features needed for performance.  Such features, once identified, can suggest reasonable assumptions regarding mode of action.</w:t>
      </w:r>
      <w:r>
        <w:t xml:space="preserve">  The first level of </w:t>
      </w:r>
      <w:r>
        <w:lastRenderedPageBreak/>
        <w:t xml:space="preserve">screening for all materials was recovery and hardness performance on London </w:t>
      </w:r>
      <w:r w:rsidR="00D65693">
        <w:t>shale</w:t>
      </w:r>
      <w:r>
        <w:t xml:space="preserve"> samples.  If a given material demonstrated outstanding inhibitory performance</w:t>
      </w:r>
      <w:r w:rsidR="00E874B3">
        <w:t xml:space="preserve"> on this swelling shale</w:t>
      </w:r>
      <w:r>
        <w:t xml:space="preserve">, it was then subjected to </w:t>
      </w:r>
      <w:r w:rsidR="00E874B3">
        <w:t xml:space="preserve">broader  and in some respects </w:t>
      </w:r>
      <w:r>
        <w:t xml:space="preserve">more </w:t>
      </w:r>
      <w:r w:rsidR="00E874B3">
        <w:t>demanding</w:t>
      </w:r>
      <w:r>
        <w:t xml:space="preserve"> performance tests, such as Slake Durability (roller cage)</w:t>
      </w:r>
      <w:r w:rsidR="00E874B3">
        <w:t xml:space="preserve"> on both London and oxford </w:t>
      </w:r>
      <w:r w:rsidR="00D65693">
        <w:t>shale</w:t>
      </w:r>
      <w:r>
        <w:t>, and analyzed for biodegradability and toxicity, among other environmental factors.</w:t>
      </w:r>
    </w:p>
    <w:p w:rsidR="007A0F83" w:rsidRPr="007A0F83" w:rsidRDefault="007A0F83" w:rsidP="007A0F83">
      <w:pPr>
        <w:pStyle w:val="para1"/>
      </w:pPr>
    </w:p>
    <w:p w:rsidR="00AB1687" w:rsidRPr="00FB5675" w:rsidRDefault="007A0F83" w:rsidP="0089231E">
      <w:pPr>
        <w:pStyle w:val="AADE1stLevelHeading"/>
      </w:pPr>
      <w:r>
        <w:t>Test Methodology</w:t>
      </w:r>
    </w:p>
    <w:p w:rsidR="007A0F83" w:rsidRDefault="007A0F83" w:rsidP="00E26F48">
      <w:pPr>
        <w:pStyle w:val="AADEParagraph"/>
      </w:pPr>
      <w:r w:rsidRPr="00D5161D">
        <w:t xml:space="preserve">When attempting an </w:t>
      </w:r>
      <w:r>
        <w:t>in-depth</w:t>
      </w:r>
      <w:r w:rsidRPr="00D5161D">
        <w:t xml:space="preserve"> study of the effect of subtle changes </w:t>
      </w:r>
      <w:r>
        <w:t>that</w:t>
      </w:r>
      <w:r w:rsidRPr="00D5161D">
        <w:t xml:space="preserve"> chemical structure can have on shale inhibition, the key step is to secure</w:t>
      </w:r>
      <w:r>
        <w:t xml:space="preserve"> a large</w:t>
      </w:r>
      <w:r w:rsidRPr="00D5161D">
        <w:t xml:space="preserve"> enough volume of a consistent shale material to test against. The mineralogical makeup and </w:t>
      </w:r>
      <w:proofErr w:type="spellStart"/>
      <w:r w:rsidRPr="00D5161D">
        <w:t>phys</w:t>
      </w:r>
      <w:r>
        <w:t>io</w:t>
      </w:r>
      <w:proofErr w:type="spellEnd"/>
      <w:r>
        <w:t xml:space="preserve">-chemical nature of </w:t>
      </w:r>
      <w:proofErr w:type="spellStart"/>
      <w:r>
        <w:t>shales</w:t>
      </w:r>
      <w:proofErr w:type="spellEnd"/>
      <w:r w:rsidRPr="00D5161D">
        <w:t xml:space="preserve"> are both important criteria in how </w:t>
      </w:r>
      <w:r>
        <w:t>they</w:t>
      </w:r>
      <w:r w:rsidRPr="00D5161D">
        <w:t xml:space="preserve"> will behave on exposure to aqueous media. </w:t>
      </w:r>
    </w:p>
    <w:p w:rsidR="007A0F83" w:rsidRPr="00904585" w:rsidRDefault="007A0F83" w:rsidP="00E26F48">
      <w:pPr>
        <w:pStyle w:val="AADEParagraph"/>
      </w:pPr>
      <w:r w:rsidRPr="00D5161D">
        <w:t xml:space="preserve">Due to the size of our study, outcrop </w:t>
      </w:r>
      <w:proofErr w:type="spellStart"/>
      <w:r w:rsidRPr="00D5161D">
        <w:t>shales</w:t>
      </w:r>
      <w:proofErr w:type="spellEnd"/>
      <w:r w:rsidRPr="00D5161D">
        <w:t xml:space="preserve"> of </w:t>
      </w:r>
      <w:r>
        <w:t>known, characterized</w:t>
      </w:r>
      <w:r w:rsidRPr="00D5161D">
        <w:t xml:space="preserve"> mineralogy have been utilized. </w:t>
      </w:r>
      <w:r>
        <w:t xml:space="preserve"> </w:t>
      </w:r>
      <w:r w:rsidRPr="00D5161D">
        <w:t xml:space="preserve">This is </w:t>
      </w:r>
      <w:r>
        <w:t xml:space="preserve">a </w:t>
      </w:r>
      <w:r w:rsidRPr="00D5161D">
        <w:t xml:space="preserve">particularly useful approach for </w:t>
      </w:r>
      <w:r w:rsidR="00E874B3">
        <w:t xml:space="preserve">large, </w:t>
      </w:r>
      <w:r w:rsidRPr="00D5161D">
        <w:t xml:space="preserve">extensive studies. </w:t>
      </w:r>
      <w:r>
        <w:t xml:space="preserve"> </w:t>
      </w:r>
      <w:r w:rsidRPr="00D5161D">
        <w:t>The advantage to such s</w:t>
      </w:r>
      <w:r>
        <w:t>ubstrates</w:t>
      </w:r>
      <w:r w:rsidRPr="00D5161D">
        <w:t xml:space="preserve"> is the availability of large shale quantities with similar composition and properties that allows a better comparison between the performance of various fluids or additives. </w:t>
      </w:r>
      <w:r>
        <w:t xml:space="preserve"> However,  a</w:t>
      </w:r>
      <w:r w:rsidRPr="00D5161D">
        <w:t xml:space="preserve">s Young </w:t>
      </w:r>
      <w:r>
        <w:t>and</w:t>
      </w:r>
      <w:r w:rsidRPr="00D5161D">
        <w:t xml:space="preserve"> </w:t>
      </w:r>
      <w:proofErr w:type="spellStart"/>
      <w:r w:rsidRPr="00D5161D">
        <w:t>Fr</w:t>
      </w:r>
      <w:r>
        <w:t>i</w:t>
      </w:r>
      <w:r w:rsidRPr="00D5161D">
        <w:t>edheim</w:t>
      </w:r>
      <w:proofErr w:type="spellEnd"/>
      <w:r w:rsidRPr="00D5161D">
        <w:t xml:space="preserve"> (</w:t>
      </w:r>
      <w:r w:rsidRPr="000860F8">
        <w:rPr>
          <w:b/>
        </w:rPr>
        <w:t>22</w:t>
      </w:r>
      <w:r w:rsidRPr="00D5161D">
        <w:t xml:space="preserve">) point out, </w:t>
      </w:r>
      <w:r>
        <w:t xml:space="preserve">there is a caveat for choosing outcrop shale, and </w:t>
      </w:r>
      <w:r w:rsidRPr="00D5161D">
        <w:t xml:space="preserve">they describe the disadvantage of </w:t>
      </w:r>
      <w:r w:rsidRPr="00CB5DBD">
        <w:t xml:space="preserve">such </w:t>
      </w:r>
      <w:proofErr w:type="spellStart"/>
      <w:r w:rsidRPr="00CB5DBD">
        <w:t>shales</w:t>
      </w:r>
      <w:proofErr w:type="spellEnd"/>
      <w:r w:rsidRPr="00CB5DBD">
        <w:t xml:space="preserve"> is that typically their chemical makeup is one of higher water activity and structurally of poorer consolidation (less exposure to stress)</w:t>
      </w:r>
      <w:r>
        <w:t xml:space="preserve"> than </w:t>
      </w:r>
      <w:proofErr w:type="spellStart"/>
      <w:r>
        <w:t>shales</w:t>
      </w:r>
      <w:proofErr w:type="spellEnd"/>
      <w:r>
        <w:t xml:space="preserve"> that are drilled at depth</w:t>
      </w:r>
      <w:r w:rsidRPr="00CB5DBD">
        <w:t xml:space="preserve">. </w:t>
      </w:r>
      <w:r>
        <w:t xml:space="preserve"> To</w:t>
      </w:r>
      <w:r w:rsidRPr="00CB5DBD">
        <w:t xml:space="preserve"> compensate</w:t>
      </w:r>
      <w:r>
        <w:t>,</w:t>
      </w:r>
      <w:r w:rsidRPr="00CB5DBD">
        <w:t xml:space="preserve"> we</w:t>
      </w:r>
      <w:r w:rsidRPr="00D5161D">
        <w:rPr>
          <w:i/>
        </w:rPr>
        <w:t xml:space="preserve"> </w:t>
      </w:r>
      <w:r w:rsidRPr="00D5161D">
        <w:t>us</w:t>
      </w:r>
      <w:r>
        <w:t>e</w:t>
      </w:r>
      <w:r w:rsidRPr="00D5161D">
        <w:t xml:space="preserve"> a range of different outcrop samples that span the shale types that </w:t>
      </w:r>
      <w:r w:rsidR="00E874B3">
        <w:t xml:space="preserve">could be </w:t>
      </w:r>
      <w:r>
        <w:t xml:space="preserve">encountered whilst drilling that </w:t>
      </w:r>
      <w:r w:rsidRPr="00D5161D">
        <w:t xml:space="preserve">contain clays from highly swelling (high </w:t>
      </w:r>
      <w:proofErr w:type="spellStart"/>
      <w:r w:rsidRPr="00D5161D">
        <w:t>montmorillonite</w:t>
      </w:r>
      <w:proofErr w:type="spellEnd"/>
      <w:r w:rsidRPr="00D5161D">
        <w:t xml:space="preserve"> content) through mixed clays to highly dispersive (high kaolinite content). </w:t>
      </w:r>
      <w:r>
        <w:t xml:space="preserve"> We also acknowledge that our laboratory testing is probably more onerous for shale inhibition performance than that seen in the field because of the above factors. </w:t>
      </w:r>
    </w:p>
    <w:p w:rsidR="007A0F83" w:rsidRDefault="007A0F83" w:rsidP="00E26F48">
      <w:pPr>
        <w:pStyle w:val="AADEParagraph"/>
      </w:pPr>
      <w:r w:rsidRPr="00D5161D">
        <w:t xml:space="preserve">The </w:t>
      </w:r>
      <w:r>
        <w:t xml:space="preserve">out-crop </w:t>
      </w:r>
      <w:proofErr w:type="spellStart"/>
      <w:r w:rsidRPr="00D5161D">
        <w:t>shales</w:t>
      </w:r>
      <w:proofErr w:type="spellEnd"/>
      <w:r w:rsidRPr="00D5161D">
        <w:t xml:space="preserve"> utilized for this study are: </w:t>
      </w:r>
    </w:p>
    <w:p w:rsidR="007A0F83" w:rsidRPr="00D5161D" w:rsidRDefault="007A0F83" w:rsidP="007A0F83">
      <w:pPr>
        <w:jc w:val="both"/>
      </w:pPr>
    </w:p>
    <w:p w:rsidR="007A0F83" w:rsidRPr="007A0F83" w:rsidRDefault="007A0F83" w:rsidP="007A0F83">
      <w:pPr>
        <w:pStyle w:val="AADE2ndLevelHeading"/>
      </w:pPr>
      <w:r w:rsidRPr="007A0F83">
        <w:t xml:space="preserve">London </w:t>
      </w:r>
      <w:r w:rsidR="003150A3">
        <w:t>Shale</w:t>
      </w:r>
    </w:p>
    <w:p w:rsidR="007A0F83" w:rsidRDefault="007A0F83" w:rsidP="00E26F48">
      <w:pPr>
        <w:pStyle w:val="AADEParagraph"/>
      </w:pPr>
      <w:r w:rsidRPr="00D5161D">
        <w:t xml:space="preserve">This formation is a marine geological formation from the Lower Eocene period and is a reasonable analogue of Tertiary shale found in upper </w:t>
      </w:r>
      <w:proofErr w:type="gramStart"/>
      <w:r w:rsidRPr="00D5161D">
        <w:t>hole</w:t>
      </w:r>
      <w:proofErr w:type="gramEnd"/>
      <w:r w:rsidRPr="00D5161D">
        <w:t xml:space="preserve"> sections and typically contains 15-25% </w:t>
      </w:r>
      <w:proofErr w:type="spellStart"/>
      <w:r w:rsidRPr="00D5161D">
        <w:t>smectite</w:t>
      </w:r>
      <w:proofErr w:type="spellEnd"/>
      <w:r w:rsidRPr="00D5161D">
        <w:t xml:space="preserve"> clay.</w:t>
      </w:r>
      <w:r>
        <w:t xml:space="preserve"> </w:t>
      </w:r>
      <w:r w:rsidRPr="00D5161D">
        <w:t xml:space="preserve"> The shale is plastic in nature due to its moistu</w:t>
      </w:r>
      <w:r>
        <w:t xml:space="preserve">re content and has low bulk density.  </w:t>
      </w:r>
      <w:proofErr w:type="gramStart"/>
      <w:r w:rsidRPr="00D5161D">
        <w:t xml:space="preserve">This </w:t>
      </w:r>
      <w:r w:rsidR="00D65693">
        <w:t>shale</w:t>
      </w:r>
      <w:r w:rsidR="00D65693" w:rsidRPr="00D5161D">
        <w:t xml:space="preserve"> </w:t>
      </w:r>
      <w:r w:rsidRPr="00D5161D">
        <w:t>is recognized by operators and mud companies</w:t>
      </w:r>
      <w:proofErr w:type="gramEnd"/>
      <w:r w:rsidRPr="00D5161D">
        <w:t xml:space="preserve"> as</w:t>
      </w:r>
      <w:r>
        <w:t xml:space="preserve"> a r</w:t>
      </w:r>
      <w:r w:rsidRPr="00D5161D">
        <w:t xml:space="preserve">epresentative </w:t>
      </w:r>
      <w:r>
        <w:t xml:space="preserve">swelling </w:t>
      </w:r>
      <w:r w:rsidRPr="00D5161D">
        <w:t xml:space="preserve">shale. </w:t>
      </w:r>
    </w:p>
    <w:p w:rsidR="007A0F83" w:rsidRPr="00D5161D" w:rsidRDefault="007A0F83" w:rsidP="007A0F83">
      <w:pPr>
        <w:ind w:firstLine="360"/>
        <w:jc w:val="both"/>
      </w:pPr>
    </w:p>
    <w:p w:rsidR="007A0F83" w:rsidRPr="007A0F83" w:rsidRDefault="007A0F83" w:rsidP="007A0F83">
      <w:pPr>
        <w:pStyle w:val="AADE2ndLevelHeading"/>
      </w:pPr>
      <w:r w:rsidRPr="007A0F83">
        <w:t xml:space="preserve">Oxford </w:t>
      </w:r>
      <w:r w:rsidR="003150A3">
        <w:t>Shale</w:t>
      </w:r>
    </w:p>
    <w:p w:rsidR="007A0F83" w:rsidRDefault="007A0F83" w:rsidP="00E26F48">
      <w:pPr>
        <w:pStyle w:val="AADEParagraph"/>
      </w:pPr>
      <w:r w:rsidRPr="00E26F48">
        <w:t xml:space="preserve">The Oxford </w:t>
      </w:r>
      <w:r w:rsidR="00D65693">
        <w:t>shale</w:t>
      </w:r>
      <w:r w:rsidR="00D65693" w:rsidRPr="00E26F48">
        <w:t xml:space="preserve"> </w:t>
      </w:r>
      <w:r w:rsidRPr="00E26F48">
        <w:t xml:space="preserve">formation is a Jurassic marine sedimentary rock formation, which is less swelling than London </w:t>
      </w:r>
      <w:r w:rsidR="00D65693">
        <w:t>shale</w:t>
      </w:r>
      <w:r w:rsidRPr="00E26F48">
        <w:t xml:space="preserve">, as it contains less </w:t>
      </w:r>
      <w:proofErr w:type="spellStart"/>
      <w:r w:rsidRPr="00E26F48">
        <w:t>smectite</w:t>
      </w:r>
      <w:proofErr w:type="spellEnd"/>
      <w:r w:rsidRPr="00E26F48">
        <w:t xml:space="preserve"> but more </w:t>
      </w:r>
      <w:proofErr w:type="spellStart"/>
      <w:r w:rsidRPr="00E26F48">
        <w:t>illite</w:t>
      </w:r>
      <w:proofErr w:type="spellEnd"/>
      <w:r w:rsidRPr="00E26F48">
        <w:t xml:space="preserve"> clay.  It is dispersible and effective for hardness testing but is not as swelling as London </w:t>
      </w:r>
      <w:r w:rsidR="00D65693">
        <w:t>shale</w:t>
      </w:r>
      <w:r w:rsidRPr="00E26F48">
        <w:t>. Like London, Oxford is recognized as an acceptable analogue of problems encountered during drilling and has a mixture of swelling and dispersive character</w:t>
      </w:r>
      <w:r>
        <w:t>.</w:t>
      </w:r>
    </w:p>
    <w:p w:rsidR="007A0F83" w:rsidRDefault="007A0F83" w:rsidP="00277483">
      <w:pPr>
        <w:pStyle w:val="Head1"/>
        <w:outlineLvl w:val="0"/>
      </w:pPr>
    </w:p>
    <w:p w:rsidR="00E26F48" w:rsidRPr="007A0F83" w:rsidRDefault="007A0F83" w:rsidP="00E26F48">
      <w:pPr>
        <w:pStyle w:val="AADE1stLevelHeading"/>
      </w:pPr>
      <w:r>
        <w:t>Shale Testing</w:t>
      </w:r>
    </w:p>
    <w:p w:rsidR="007A0F83" w:rsidRDefault="007A0F83" w:rsidP="007A0F83">
      <w:pPr>
        <w:pStyle w:val="AADEParagraph"/>
      </w:pPr>
      <w:r w:rsidRPr="00D5161D">
        <w:t xml:space="preserve">The shale testing procedures </w:t>
      </w:r>
      <w:r>
        <w:t>outlined</w:t>
      </w:r>
      <w:r w:rsidRPr="00D5161D">
        <w:t xml:space="preserve"> below </w:t>
      </w:r>
      <w:r>
        <w:t xml:space="preserve">are described </w:t>
      </w:r>
      <w:r>
        <w:lastRenderedPageBreak/>
        <w:t xml:space="preserve">in more detail by Young and </w:t>
      </w:r>
      <w:proofErr w:type="spellStart"/>
      <w:r>
        <w:t>Friedheim</w:t>
      </w:r>
      <w:proofErr w:type="spellEnd"/>
      <w:r>
        <w:t xml:space="preserve"> (</w:t>
      </w:r>
      <w:r w:rsidRPr="000860F8">
        <w:rPr>
          <w:b/>
        </w:rPr>
        <w:t>22</w:t>
      </w:r>
      <w:r>
        <w:t>) and we</w:t>
      </w:r>
      <w:r w:rsidRPr="00D5161D">
        <w:t xml:space="preserve">re used to evaluate </w:t>
      </w:r>
      <w:r>
        <w:t>the</w:t>
      </w:r>
      <w:r w:rsidRPr="00D5161D">
        <w:t xml:space="preserve"> inhibiting chemist</w:t>
      </w:r>
      <w:r>
        <w:t>ry homologous series</w:t>
      </w:r>
      <w:r w:rsidRPr="00D5161D">
        <w:t xml:space="preserve"> and benchmark relative performance</w:t>
      </w:r>
      <w:r>
        <w:t>.</w:t>
      </w:r>
    </w:p>
    <w:p w:rsidR="007A0F83" w:rsidRPr="00D5161D" w:rsidRDefault="007A0F83" w:rsidP="007A0F83">
      <w:pPr>
        <w:pStyle w:val="AADEParagraph"/>
      </w:pPr>
      <w:r>
        <w:t>The</w:t>
      </w:r>
      <w:r w:rsidRPr="00D5161D">
        <w:t xml:space="preserve"> standard test protocol includes:</w:t>
      </w:r>
    </w:p>
    <w:p w:rsidR="007A0F83" w:rsidRPr="00D5161D" w:rsidRDefault="007A0F83" w:rsidP="007A0F83">
      <w:pPr>
        <w:pStyle w:val="AADEParagraph"/>
        <w:numPr>
          <w:ilvl w:val="0"/>
          <w:numId w:val="16"/>
        </w:numPr>
      </w:pPr>
      <w:r w:rsidRPr="00D5161D">
        <w:t>Bottle recovery tests</w:t>
      </w:r>
    </w:p>
    <w:p w:rsidR="007A0F83" w:rsidRPr="00D5161D" w:rsidRDefault="007A0F83" w:rsidP="007A0F83">
      <w:pPr>
        <w:pStyle w:val="AADEParagraph"/>
        <w:numPr>
          <w:ilvl w:val="0"/>
          <w:numId w:val="16"/>
        </w:numPr>
      </w:pPr>
      <w:r>
        <w:t>Slake Durability (r</w:t>
      </w:r>
      <w:r w:rsidRPr="00D5161D">
        <w:t>oller cage</w:t>
      </w:r>
      <w:r>
        <w:t>)</w:t>
      </w:r>
      <w:r w:rsidRPr="00D5161D">
        <w:t xml:space="preserve"> recovery tests (more aggressive test)</w:t>
      </w:r>
    </w:p>
    <w:p w:rsidR="007A0F83" w:rsidRPr="00D5161D" w:rsidRDefault="007A0F83" w:rsidP="007A0F83">
      <w:pPr>
        <w:pStyle w:val="AADEParagraph"/>
        <w:numPr>
          <w:ilvl w:val="0"/>
          <w:numId w:val="16"/>
        </w:numPr>
      </w:pPr>
      <w:r w:rsidRPr="00D5161D">
        <w:t xml:space="preserve">Shale </w:t>
      </w:r>
      <w:r>
        <w:t>h</w:t>
      </w:r>
      <w:r w:rsidRPr="00D5161D">
        <w:t>ardness test (</w:t>
      </w:r>
      <w:r>
        <w:t xml:space="preserve">sometimes referred to as the </w:t>
      </w:r>
      <w:r w:rsidRPr="00D5161D">
        <w:t>BP hardness tester</w:t>
      </w:r>
      <w:r>
        <w:t xml:space="preserve">, </w:t>
      </w:r>
      <w:r w:rsidRPr="00602A40">
        <w:rPr>
          <w:b/>
        </w:rPr>
        <w:t>14</w:t>
      </w:r>
      <w:r w:rsidRPr="00D5161D">
        <w:t>)</w:t>
      </w:r>
    </w:p>
    <w:p w:rsidR="007A0F83" w:rsidRPr="00D5161D" w:rsidRDefault="007A0F83" w:rsidP="007A0F83">
      <w:pPr>
        <w:pStyle w:val="AADEParagraph"/>
        <w:numPr>
          <w:ilvl w:val="0"/>
          <w:numId w:val="16"/>
        </w:numPr>
      </w:pPr>
      <w:r w:rsidRPr="00D5161D">
        <w:t>Shale moisture content change</w:t>
      </w:r>
    </w:p>
    <w:p w:rsidR="007A0F83" w:rsidRPr="00D5161D" w:rsidRDefault="007A0F83" w:rsidP="007A0F83">
      <w:pPr>
        <w:pStyle w:val="AADEParagraph"/>
      </w:pPr>
      <w:r w:rsidRPr="00D5161D">
        <w:t>For all tests</w:t>
      </w:r>
      <w:r>
        <w:t>,</w:t>
      </w:r>
      <w:r w:rsidRPr="00D5161D">
        <w:t xml:space="preserve"> we </w:t>
      </w:r>
      <w:r w:rsidRPr="00D5161D">
        <w:rPr>
          <w:rFonts w:cs="Arial"/>
          <w:color w:val="000000"/>
        </w:rPr>
        <w:t xml:space="preserve">recognize that the rheological properties of the fluid can influence the test results by altering the amount of agitation in the rolling phase. </w:t>
      </w:r>
      <w:r>
        <w:rPr>
          <w:rFonts w:cs="Arial"/>
          <w:color w:val="000000"/>
        </w:rPr>
        <w:t xml:space="preserve"> </w:t>
      </w:r>
      <w:r w:rsidRPr="00D5161D">
        <w:rPr>
          <w:rFonts w:cs="Arial"/>
          <w:color w:val="000000"/>
        </w:rPr>
        <w:t>For these tests</w:t>
      </w:r>
      <w:r>
        <w:rPr>
          <w:rFonts w:cs="Arial"/>
          <w:color w:val="000000"/>
        </w:rPr>
        <w:t>,</w:t>
      </w:r>
      <w:r w:rsidRPr="00D5161D">
        <w:rPr>
          <w:rFonts w:cs="Arial"/>
          <w:color w:val="000000"/>
        </w:rPr>
        <w:t xml:space="preserve"> the rheological parameters of each fluid tested are designed to be similar to minimize any inaccuracies in cross-fluid comparisons</w:t>
      </w:r>
      <w:r>
        <w:rPr>
          <w:rFonts w:cs="Arial"/>
          <w:color w:val="000000"/>
        </w:rPr>
        <w:t>.</w:t>
      </w:r>
    </w:p>
    <w:p w:rsidR="007A0F83" w:rsidRDefault="007A0F83" w:rsidP="007A0F83">
      <w:pPr>
        <w:pStyle w:val="AADEParagraph"/>
      </w:pPr>
      <w:r w:rsidRPr="00D5161D">
        <w:t>In essence</w:t>
      </w:r>
      <w:r>
        <w:t>,</w:t>
      </w:r>
      <w:r w:rsidRPr="00D5161D">
        <w:t xml:space="preserve"> we test </w:t>
      </w:r>
      <w:r>
        <w:t xml:space="preserve">the shale performance </w:t>
      </w:r>
      <w:r w:rsidRPr="00D5161D">
        <w:t>efficiency</w:t>
      </w:r>
      <w:r>
        <w:t xml:space="preserve"> of each chemistry</w:t>
      </w:r>
      <w:r w:rsidRPr="00D5161D">
        <w:t xml:space="preserve"> on an </w:t>
      </w:r>
      <w:proofErr w:type="gramStart"/>
      <w:r w:rsidRPr="00D5161D">
        <w:t>8 point</w:t>
      </w:r>
      <w:proofErr w:type="gramEnd"/>
      <w:r w:rsidRPr="00D5161D">
        <w:t xml:space="preserve"> matrix</w:t>
      </w:r>
      <w:r>
        <w:t>,</w:t>
      </w:r>
      <w:r w:rsidRPr="00D5161D">
        <w:t xml:space="preserve"> and we look for enhanced performance across all data points</w:t>
      </w:r>
      <w:r w:rsidRPr="0050581B">
        <w:t xml:space="preserve">. </w:t>
      </w:r>
      <w:r>
        <w:t xml:space="preserve"> This then leads into toxicity and biodegradation characterization against the said same molecular changes within each homologous series.</w:t>
      </w:r>
    </w:p>
    <w:p w:rsidR="007A0F83" w:rsidRDefault="007A0F83" w:rsidP="007A0F83">
      <w:pPr>
        <w:pStyle w:val="AADE1stLevelHeading"/>
      </w:pPr>
    </w:p>
    <w:p w:rsidR="007A0F83" w:rsidRDefault="007A0F83" w:rsidP="007A0F83">
      <w:pPr>
        <w:pStyle w:val="AADE1stLevelHeading"/>
      </w:pPr>
      <w:r>
        <w:t>Results and Discussion</w:t>
      </w:r>
    </w:p>
    <w:p w:rsidR="00E26F48" w:rsidRDefault="00E26F48" w:rsidP="007A0F83">
      <w:pPr>
        <w:pStyle w:val="AADE1stLevelHeading"/>
      </w:pPr>
    </w:p>
    <w:p w:rsidR="007A0F83" w:rsidRPr="00E26F48" w:rsidRDefault="007A0F83" w:rsidP="00E26F48">
      <w:pPr>
        <w:pStyle w:val="AADE2ndLevelHeading"/>
      </w:pPr>
      <w:r w:rsidRPr="00E26F48">
        <w:t>Series 1 (quaternary amine containing molecules):</w:t>
      </w:r>
    </w:p>
    <w:p w:rsidR="00223269" w:rsidRDefault="007A0F83" w:rsidP="00A7379D">
      <w:pPr>
        <w:pStyle w:val="AADEParagraph"/>
      </w:pPr>
      <w:r w:rsidRPr="00FA40CC">
        <w:t xml:space="preserve">In an effort to better understand the structural properties that lead to successful shale inhibition performance, a series of hydrophobically modified, quaternary amine containing molecules was synthesized and analyzed for shale recovery and hardness.  </w:t>
      </w:r>
      <w:r>
        <w:t xml:space="preserve">By first analyzing for the relative inhibitory performance of the materials, higher performing materials could be readily identified and promoted for further inhibition and environmental testing.  </w:t>
      </w:r>
      <w:r w:rsidRPr="00FA40CC">
        <w:t xml:space="preserve">Using London </w:t>
      </w:r>
      <w:r w:rsidR="00D65693">
        <w:t>shale</w:t>
      </w:r>
      <w:r w:rsidRPr="00FA40CC">
        <w:t xml:space="preserve">, an optimal length of the hydrophobic moiety was determined for best recovery and hardness.  Since the size of the molecule is dictated </w:t>
      </w:r>
      <w:r>
        <w:t>by its</w:t>
      </w:r>
      <w:r w:rsidRPr="00FA40CC">
        <w:t xml:space="preserve"> hydrophobic functionalit</w:t>
      </w:r>
      <w:r>
        <w:t>y</w:t>
      </w:r>
      <w:r w:rsidRPr="00FA40CC">
        <w:t xml:space="preserve">, </w:t>
      </w:r>
      <w:r>
        <w:t>an</w:t>
      </w:r>
      <w:r w:rsidRPr="00FA40CC">
        <w:t xml:space="preserve"> optimal length corresponds to an optimal molecular weight.  </w:t>
      </w:r>
    </w:p>
    <w:p w:rsidR="007A0F83" w:rsidRDefault="007A0F83" w:rsidP="00A7379D">
      <w:pPr>
        <w:pStyle w:val="AADEParagraph"/>
      </w:pPr>
      <w:r w:rsidRPr="00FA40CC">
        <w:t xml:space="preserve">Additionally, a series of quaternary amine containing molecules </w:t>
      </w:r>
      <w:r>
        <w:t>were</w:t>
      </w:r>
      <w:r w:rsidRPr="00FA40CC">
        <w:t xml:space="preserve"> synthesized with a high charge density and increasing amounts of </w:t>
      </w:r>
      <w:proofErr w:type="spellStart"/>
      <w:r w:rsidRPr="00FA40CC">
        <w:t>hydrophilicity</w:t>
      </w:r>
      <w:proofErr w:type="spellEnd"/>
      <w:r w:rsidRPr="00FA40CC">
        <w:t>.  For this series</w:t>
      </w:r>
      <w:r>
        <w:t>,</w:t>
      </w:r>
      <w:r w:rsidRPr="00FA40CC">
        <w:t xml:space="preserve"> it was found that increasing either the molecular weight or the </w:t>
      </w:r>
      <w:proofErr w:type="spellStart"/>
      <w:r w:rsidRPr="00FA40CC">
        <w:t>hydrophilicity</w:t>
      </w:r>
      <w:proofErr w:type="spellEnd"/>
      <w:r w:rsidRPr="00FA40CC">
        <w:t xml:space="preserve"> improves the recovery and hardness as tested with London </w:t>
      </w:r>
      <w:r w:rsidR="00D65693">
        <w:t>shale</w:t>
      </w:r>
      <w:r w:rsidRPr="00FA40CC">
        <w:t>.  Overall, our results indicate that new solutions to the shale swelling and dispersion problem can be found with new chemistry.</w:t>
      </w:r>
    </w:p>
    <w:p w:rsidR="00E26F48" w:rsidRDefault="00E26F48" w:rsidP="007A0F83">
      <w:pPr>
        <w:ind w:firstLine="360"/>
        <w:jc w:val="both"/>
      </w:pPr>
    </w:p>
    <w:p w:rsidR="007A0F83" w:rsidRPr="00BA5F3B" w:rsidRDefault="007A0F83" w:rsidP="00E26F48">
      <w:pPr>
        <w:pStyle w:val="AADE2ndLevelHeading"/>
      </w:pPr>
      <w:r w:rsidRPr="00BA5F3B">
        <w:t>Series 2 (substituted amines with alcohol functionality):</w:t>
      </w:r>
    </w:p>
    <w:p w:rsidR="007A0F83" w:rsidRDefault="007A0F83" w:rsidP="00A7379D">
      <w:pPr>
        <w:pStyle w:val="AADEParagraph"/>
      </w:pPr>
      <w:r w:rsidRPr="00FA40CC">
        <w:t xml:space="preserve">While new quaternary amine containing molecules can improve the shale inhibition performance of WBMs, it is preferable to use ion/salt free materials.   To this end, </w:t>
      </w:r>
      <w:bookmarkStart w:id="1" w:name="OLE_LINK1"/>
      <w:r w:rsidRPr="00FA40CC">
        <w:t xml:space="preserve">substituted amines </w:t>
      </w:r>
      <w:r>
        <w:t xml:space="preserve">having </w:t>
      </w:r>
      <w:r w:rsidRPr="00FA40CC">
        <w:t xml:space="preserve">alcohol </w:t>
      </w:r>
      <w:r>
        <w:t>functionalities provided different</w:t>
      </w:r>
      <w:r w:rsidRPr="00FA40CC">
        <w:t xml:space="preserve"> </w:t>
      </w:r>
      <w:bookmarkEnd w:id="1"/>
      <w:r>
        <w:t>chemical classes</w:t>
      </w:r>
      <w:r w:rsidRPr="00FA40CC">
        <w:t xml:space="preserve"> </w:t>
      </w:r>
      <w:r>
        <w:t xml:space="preserve">and </w:t>
      </w:r>
      <w:r w:rsidRPr="00FA40CC">
        <w:t xml:space="preserve">were synthesized with varying molecular weight, amine content and branching.  </w:t>
      </w:r>
      <w:r>
        <w:t>Similar to the studies based on quaternary amine-containing molecules, it</w:t>
      </w:r>
      <w:r w:rsidRPr="00FA40CC">
        <w:t xml:space="preserve"> was found that the best shale inhibition performance could be </w:t>
      </w:r>
      <w:r w:rsidRPr="00FA40CC">
        <w:lastRenderedPageBreak/>
        <w:t xml:space="preserve">obtained when an optimal molecular weight and amine content </w:t>
      </w:r>
      <w:r>
        <w:t>were</w:t>
      </w:r>
      <w:r w:rsidRPr="00FA40CC">
        <w:t xml:space="preserve"> used in combination with increased branching.  Figures </w:t>
      </w:r>
      <w:r>
        <w:t>1</w:t>
      </w:r>
      <w:r w:rsidRPr="00FA40CC">
        <w:t xml:space="preserve"> and </w:t>
      </w:r>
      <w:r>
        <w:t>2</w:t>
      </w:r>
      <w:r w:rsidRPr="00FA40CC">
        <w:t xml:space="preserve"> illustrate this trend.  The best molecule from this series was </w:t>
      </w:r>
      <w:r>
        <w:t xml:space="preserve">identified by analysis of the shale recovery and hardness data (Chemistry A).  It was then </w:t>
      </w:r>
      <w:r w:rsidRPr="00FA40CC">
        <w:t xml:space="preserve">subjected to further investigations and demonstrated excellent performance relative to industry standards.  </w:t>
      </w:r>
      <w:r>
        <w:t>Chemistry A</w:t>
      </w:r>
      <w:r w:rsidRPr="00FA40CC">
        <w:t xml:space="preserve"> has been commercialized and will be discussed further below.  Interestingly, related materials that have the same functionalit</w:t>
      </w:r>
      <w:r>
        <w:t>ies (i.e. amines and alcohols)</w:t>
      </w:r>
      <w:r w:rsidRPr="00FA40CC">
        <w:t xml:space="preserve"> but different</w:t>
      </w:r>
      <w:r>
        <w:t xml:space="preserve"> structures</w:t>
      </w:r>
      <w:r w:rsidRPr="00FA40CC">
        <w:t xml:space="preserve"> do</w:t>
      </w:r>
      <w:r>
        <w:t xml:space="preserve"> </w:t>
      </w:r>
      <w:r w:rsidRPr="00FA40CC">
        <w:t>n</w:t>
      </w:r>
      <w:r>
        <w:t>o</w:t>
      </w:r>
      <w:r w:rsidRPr="00FA40CC">
        <w:t>t perform well</w:t>
      </w:r>
      <w:r>
        <w:t>, indicating that only particular substituted amines with alcohols as specific groupings generate enhanced inhibition performance</w:t>
      </w:r>
      <w:r w:rsidRPr="00FA40CC">
        <w:t xml:space="preserve">.  While trends within a series of related structures are clear, understanding the effects </w:t>
      </w:r>
      <w:r>
        <w:t>when</w:t>
      </w:r>
      <w:r w:rsidRPr="00FA40CC">
        <w:t xml:space="preserve"> expanding</w:t>
      </w:r>
      <w:r>
        <w:t xml:space="preserve"> hypotheses</w:t>
      </w:r>
      <w:r w:rsidRPr="00FA40CC">
        <w:t xml:space="preserve"> to related materials remains an active area of investigation.</w:t>
      </w:r>
    </w:p>
    <w:p w:rsidR="00A7379D" w:rsidRPr="00FA40CC" w:rsidRDefault="00A7379D" w:rsidP="00A7379D">
      <w:pPr>
        <w:pStyle w:val="AADEParagraph"/>
      </w:pPr>
    </w:p>
    <w:p w:rsidR="007A0F83" w:rsidRPr="00EA7AFE" w:rsidRDefault="007A0F83" w:rsidP="00A7379D">
      <w:pPr>
        <w:pStyle w:val="AADE2ndLevelHeading"/>
      </w:pPr>
      <w:r w:rsidRPr="00EA7AFE">
        <w:t>Series 3 (primary amines with hydrophobic groups - no alcohols):</w:t>
      </w:r>
    </w:p>
    <w:p w:rsidR="007A0F83" w:rsidRPr="00FA40CC" w:rsidRDefault="007A0F83" w:rsidP="00A7379D">
      <w:pPr>
        <w:pStyle w:val="AADEParagraph"/>
      </w:pPr>
      <w:r w:rsidRPr="00FA40CC">
        <w:t xml:space="preserve">A series of </w:t>
      </w:r>
      <w:bookmarkStart w:id="2" w:name="OLE_LINK7"/>
      <w:r w:rsidRPr="00FA40CC">
        <w:t xml:space="preserve">primary amines with no alcohol functionality but with hydrophobic groups </w:t>
      </w:r>
      <w:bookmarkEnd w:id="2"/>
      <w:r w:rsidRPr="00FA40CC">
        <w:t xml:space="preserve">was also found to demonstrate excellent performance </w:t>
      </w:r>
      <w:r>
        <w:t>having</w:t>
      </w:r>
      <w:r w:rsidRPr="00FA40CC">
        <w:t xml:space="preserve"> optimal structures.  As with other materials studied, a balance exists between molecular weight and hydrophobic length that generates peak shale inhibition.  The recovery of shale is also improved by increasing the hydrophobicity of the molecule, by increasing branching or by utilizing an optimal molecular weight </w:t>
      </w:r>
      <w:r>
        <w:t>with high hydrophobicity (F</w:t>
      </w:r>
      <w:r w:rsidRPr="00FA40CC">
        <w:t>igure</w:t>
      </w:r>
      <w:r>
        <w:t xml:space="preserve"> 3</w:t>
      </w:r>
      <w:r w:rsidRPr="00FA40CC">
        <w:t>)</w:t>
      </w:r>
      <w:r>
        <w:t>.</w:t>
      </w:r>
      <w:r w:rsidRPr="00FA40CC">
        <w:t xml:space="preserve">  However, hardness of the cuttings will increase with decreasing molecular weight, similar to recovery, but branching and hydrophobicity have a minimal effect.  The </w:t>
      </w:r>
      <w:r>
        <w:t>best in class</w:t>
      </w:r>
      <w:r w:rsidRPr="00FA40CC">
        <w:t xml:space="preserve"> performer from this study</w:t>
      </w:r>
      <w:r>
        <w:t xml:space="preserve"> (Chemistry B)</w:t>
      </w:r>
      <w:r w:rsidRPr="00FA40CC">
        <w:t xml:space="preserve"> will be further discussed below as a potential next generation shale inhibitor with superior performance relative to industry standards and with excellent environmental and toxicological properties.</w:t>
      </w:r>
    </w:p>
    <w:p w:rsidR="007A0F83" w:rsidRDefault="007A0F83" w:rsidP="007A0F83">
      <w:pPr>
        <w:pStyle w:val="AADEParagraph"/>
      </w:pPr>
    </w:p>
    <w:p w:rsidR="00F272F8" w:rsidRPr="002517CE" w:rsidRDefault="00F272F8" w:rsidP="00F272F8">
      <w:pPr>
        <w:pStyle w:val="AADE1stLevelHeading"/>
      </w:pPr>
      <w:r w:rsidRPr="002517CE">
        <w:t xml:space="preserve">Shale </w:t>
      </w:r>
      <w:r>
        <w:t>P</w:t>
      </w:r>
      <w:r w:rsidRPr="002517CE">
        <w:t xml:space="preserve">erformance </w:t>
      </w:r>
      <w:r>
        <w:t>D</w:t>
      </w:r>
      <w:r w:rsidRPr="002517CE">
        <w:t>ata for Shale Inhibitor Chemistries A and B</w:t>
      </w:r>
    </w:p>
    <w:p w:rsidR="00F272F8" w:rsidRDefault="00F272F8" w:rsidP="00F272F8">
      <w:pPr>
        <w:pStyle w:val="AADEParagraph"/>
      </w:pPr>
      <w:r>
        <w:t xml:space="preserve">Two chemistries in particular came to light in this detailed investigation that had very good properties across the shale substrate testing.  Candidate inhibitor Chemistry A is a commercially available material that produces very hard cuttings and good shale inhibition characteristics at concentrations of 2-3% v/v. Its performance can be compared against industry standard amines and glycol in freshwater.  Candidate inhibitor Chemistry B is a developmental material that has either equivalent, and in some tests incrementally better, shale characteristics over a broader concentration range of 1-3% but is also readily biodegradable which advances its environmental credentials against most industry inhibitors. </w:t>
      </w:r>
    </w:p>
    <w:p w:rsidR="00F272F8" w:rsidRDefault="00F272F8" w:rsidP="00F272F8">
      <w:pPr>
        <w:pStyle w:val="AADEParagraph"/>
      </w:pPr>
      <w:bookmarkStart w:id="3" w:name="OLE_LINK15"/>
      <w:r>
        <w:t xml:space="preserve">The evaluation of these two shale inhibitor chemistries, both in terms of hardness and Slake Durability, is shown in Figures 4 and 5 on London </w:t>
      </w:r>
      <w:bookmarkStart w:id="4" w:name="OLE_LINK13"/>
      <w:r>
        <w:t>clay</w:t>
      </w:r>
      <w:bookmarkEnd w:id="4"/>
      <w:r>
        <w:t>, which is the more swelling version.</w:t>
      </w:r>
      <w:bookmarkEnd w:id="3"/>
      <w:r>
        <w:t xml:space="preserve">  Figure 4 illustrates how Chemistries A and B exhibit improved hardness performance over that of an industry leading amine reaching higher torque with less turns at the same dosage.  It is important to note that the fluids for </w:t>
      </w:r>
      <w:r>
        <w:lastRenderedPageBreak/>
        <w:t xml:space="preserve">Chemistries A and B are fresh water systems.  The standard glycol </w:t>
      </w:r>
      <w:bookmarkStart w:id="5" w:name="OLE_LINK14"/>
      <w:r>
        <w:t>exhibited lower hardness than Chemistries A, B, and the industry leading amine</w:t>
      </w:r>
      <w:bookmarkEnd w:id="5"/>
      <w:r>
        <w:t xml:space="preserve">, and the former required </w:t>
      </w:r>
      <w:proofErr w:type="spellStart"/>
      <w:r>
        <w:t>KCl</w:t>
      </w:r>
      <w:proofErr w:type="spellEnd"/>
      <w:r>
        <w:t xml:space="preserve"> as an adjunct to perform. This feature defeated the objective of having a chloride free </w:t>
      </w:r>
      <w:r w:rsidR="00D65693">
        <w:t xml:space="preserve">or freshwater </w:t>
      </w:r>
      <w:r>
        <w:t xml:space="preserve">drilling fluid for environmental and discharge constraints.  </w:t>
      </w:r>
      <w:bookmarkStart w:id="6" w:name="OLE_LINK16"/>
      <w:r>
        <w:t>The Slake Durability performance of Chemistry B stands out above that of all other materials tested in this study on London shale, as shown in Figure 5.</w:t>
      </w:r>
      <w:bookmarkEnd w:id="6"/>
    </w:p>
    <w:p w:rsidR="00F272F8" w:rsidRDefault="00F272F8" w:rsidP="00F272F8">
      <w:pPr>
        <w:pStyle w:val="AADEParagraph"/>
      </w:pPr>
      <w:r>
        <w:t xml:space="preserve">Similar to the London </w:t>
      </w:r>
      <w:r w:rsidR="00253E45">
        <w:t>shale</w:t>
      </w:r>
      <w:r>
        <w:t xml:space="preserve"> study, the same chemistries were evaluated for hardness and Slake Durability on Oxford </w:t>
      </w:r>
      <w:r w:rsidR="00253E45">
        <w:t>shale</w:t>
      </w:r>
      <w:r>
        <w:t>.  Results are shown below in Figures 6 and 7. Chemistry A, B and the industry leading amine top the hardness performance data as they develop higher torques faster than the other tested materials as illustrated in Figure 6.</w:t>
      </w:r>
      <w:r w:rsidRPr="0079541B">
        <w:t xml:space="preserve"> </w:t>
      </w:r>
      <w:r>
        <w:t xml:space="preserve"> The Slake Durability performance of Chemistry A, B, and the industry leading amine are comparable </w:t>
      </w:r>
      <w:bookmarkStart w:id="7" w:name="OLE_LINK17"/>
      <w:r>
        <w:t xml:space="preserve">in this study on Oxford </w:t>
      </w:r>
      <w:bookmarkEnd w:id="7"/>
      <w:r w:rsidR="00253E45">
        <w:t>shale</w:t>
      </w:r>
      <w:r>
        <w:t>, with Chemistry A showing a slight advantage as depicted in Figure 7.</w:t>
      </w:r>
    </w:p>
    <w:p w:rsidR="00F272F8" w:rsidRDefault="00F272F8" w:rsidP="00F272F8">
      <w:pPr>
        <w:jc w:val="both"/>
      </w:pPr>
    </w:p>
    <w:p w:rsidR="00F272F8" w:rsidRPr="009B36F9" w:rsidRDefault="00F272F8" w:rsidP="00F272F8">
      <w:pPr>
        <w:pStyle w:val="AADE1stLevelHeading"/>
      </w:pPr>
      <w:bookmarkStart w:id="8" w:name="OLE_LINK10"/>
      <w:r w:rsidRPr="009B36F9">
        <w:t>Second Generation Inhibitor</w:t>
      </w:r>
    </w:p>
    <w:bookmarkEnd w:id="8"/>
    <w:p w:rsidR="00F272F8" w:rsidRDefault="00F272F8" w:rsidP="00F272F8">
      <w:pPr>
        <w:pStyle w:val="AADEParagraph"/>
      </w:pPr>
      <w:r>
        <w:t>F</w:t>
      </w:r>
      <w:r w:rsidRPr="00FA40CC">
        <w:t xml:space="preserve">or situations where even higher performance is required and greater environmental constraints are present, we are developing a second generation inhibitor for WBMs.  </w:t>
      </w:r>
      <w:r>
        <w:t>As detailed above, our experimental methodology has successfully identified Chemistry A as a top shale inhibitor.  These experiments also indicated another top performer, Chemistry B – from a different series.</w:t>
      </w:r>
      <w:r w:rsidRPr="00FA40CC">
        <w:t xml:space="preserve"> Initial results indicate that the new material has inhibition performance exceeding that of leading industr</w:t>
      </w:r>
      <w:r>
        <w:t>y</w:t>
      </w:r>
      <w:r w:rsidRPr="00FA40CC">
        <w:t xml:space="preserve"> materials that do not require the addition of salts.  Both recovery and hardness tests suggest high efficacy at </w:t>
      </w:r>
      <w:r>
        <w:t>comparable</w:t>
      </w:r>
      <w:r w:rsidRPr="00FA40CC">
        <w:t xml:space="preserve"> dosage levels </w:t>
      </w:r>
      <w:r>
        <w:t xml:space="preserve">(Figures 4 and 6) </w:t>
      </w:r>
      <w:r w:rsidRPr="00FA40CC">
        <w:t xml:space="preserve">and initial </w:t>
      </w:r>
      <w:r>
        <w:t>Slake Durability (</w:t>
      </w:r>
      <w:r w:rsidRPr="00FA40CC">
        <w:t>roller cage</w:t>
      </w:r>
      <w:r>
        <w:t>)</w:t>
      </w:r>
      <w:r w:rsidRPr="00FA40CC">
        <w:t xml:space="preserve"> st</w:t>
      </w:r>
      <w:r>
        <w:t>udies are also very encouraging (</w:t>
      </w:r>
      <w:r w:rsidRPr="00DF4DB4">
        <w:t>Figures 5</w:t>
      </w:r>
      <w:r>
        <w:t xml:space="preserve"> and </w:t>
      </w:r>
      <w:r w:rsidRPr="00DF4DB4">
        <w:t>7</w:t>
      </w:r>
      <w:r>
        <w:t>).</w:t>
      </w:r>
    </w:p>
    <w:p w:rsidR="00F272F8" w:rsidRPr="00FA40CC" w:rsidRDefault="00F272F8" w:rsidP="00F272F8">
      <w:pPr>
        <w:pStyle w:val="AADEParagraph"/>
      </w:pPr>
      <w:r w:rsidRPr="00FA40CC">
        <w:t xml:space="preserve">Beyond its excellent performance attributes, several tests </w:t>
      </w:r>
      <w:r w:rsidR="00A5639D">
        <w:t>suggest</w:t>
      </w:r>
      <w:r w:rsidR="00A5639D" w:rsidRPr="00FA40CC">
        <w:t xml:space="preserve"> </w:t>
      </w:r>
      <w:r w:rsidRPr="00FA40CC">
        <w:t xml:space="preserve">the presence of a </w:t>
      </w:r>
      <w:r w:rsidR="00A5639D">
        <w:t>superior</w:t>
      </w:r>
      <w:r w:rsidR="00A5639D" w:rsidRPr="00FA40CC">
        <w:t xml:space="preserve"> </w:t>
      </w:r>
      <w:r w:rsidRPr="00FA40CC">
        <w:t>environmental profile.  EPA’s EPI Suite (BIOWIN models) estimated that this inhibitor would be readily biodegradable under aerobic conditions. This prediction was confirmed experimentally via a screening test based on the OECD 301F guideline</w:t>
      </w:r>
      <w:r>
        <w:t xml:space="preserve"> (</w:t>
      </w:r>
      <w:r>
        <w:rPr>
          <w:b/>
        </w:rPr>
        <w:t>23</w:t>
      </w:r>
      <w:r>
        <w:t>)</w:t>
      </w:r>
      <w:r w:rsidRPr="00FA40CC">
        <w:t>.</w:t>
      </w:r>
      <w:r>
        <w:t xml:space="preserve"> </w:t>
      </w:r>
      <w:r w:rsidRPr="00FA40CC">
        <w:t xml:space="preserve"> According to this test, the inhibitor can be considered “readily biodegradable” since it reached 120% biod</w:t>
      </w:r>
      <w:r>
        <w:t xml:space="preserve">egradation at the end of the 28 </w:t>
      </w:r>
      <w:r w:rsidRPr="00FA40CC">
        <w:t>d</w:t>
      </w:r>
      <w:r>
        <w:t>ay</w:t>
      </w:r>
      <w:r w:rsidRPr="00FA40CC">
        <w:t xml:space="preserve"> study. Th</w:t>
      </w:r>
      <w:r>
        <w:t>is</w:t>
      </w:r>
      <w:r w:rsidRPr="00FA40CC">
        <w:t xml:space="preserve"> result of 120% biodegradation is based on biological oxygen demand (BOD) at 28 d</w:t>
      </w:r>
      <w:r>
        <w:t>ays</w:t>
      </w:r>
      <w:r w:rsidRPr="00FA40CC">
        <w:t xml:space="preserve"> compared to the theoretical oxygen demand of the test material.  The biodegradation percentage in this OECD 301F test may be higher than 100% due to some additional oxygen consumption other than the amount required for the bio-oxidation of the test material.  Dissolved organic carbon removal was 98% after 28 days which suggests that the test material was indeed completely degraded.</w:t>
      </w:r>
      <w:r>
        <w:t xml:space="preserve">  These results are now being validated by a more stringent GLP OECD 306 biodegradation test in seawater.</w:t>
      </w:r>
    </w:p>
    <w:p w:rsidR="00F272F8" w:rsidRDefault="00F272F8" w:rsidP="00F272F8">
      <w:pPr>
        <w:pStyle w:val="AADEParagraph"/>
      </w:pPr>
      <w:r w:rsidRPr="00FA40CC">
        <w:t>A Quantitative Structure Activity Relationship (QSAR) assessment of aquatic toxicity of the inhibitor, in pure form, was performed</w:t>
      </w:r>
      <w:r>
        <w:t xml:space="preserve"> using the OECD QSAR toolbox v.</w:t>
      </w:r>
      <w:r w:rsidRPr="00FA40CC">
        <w:t xml:space="preserve">3 and a relevant subset of model molecules from databases of aquatic </w:t>
      </w:r>
      <w:r w:rsidRPr="00FA40CC">
        <w:lastRenderedPageBreak/>
        <w:t xml:space="preserve">toxicity </w:t>
      </w:r>
      <w:r>
        <w:t>results</w:t>
      </w:r>
      <w:r w:rsidRPr="00FA40CC">
        <w:t xml:space="preserve">. </w:t>
      </w:r>
      <w:r>
        <w:t xml:space="preserve"> </w:t>
      </w:r>
      <w:r w:rsidRPr="00FA40CC">
        <w:t xml:space="preserve">According to </w:t>
      </w:r>
      <w:r>
        <w:t xml:space="preserve">the </w:t>
      </w:r>
      <w:r w:rsidRPr="00FA40CC">
        <w:t>US EPA classification, the derived model predicted the pure compound to be moderately toxic to algae (</w:t>
      </w:r>
      <w:proofErr w:type="spellStart"/>
      <w:r w:rsidRPr="00FA40CC">
        <w:t>Pseudokirchneriella</w:t>
      </w:r>
      <w:proofErr w:type="spellEnd"/>
      <w:r w:rsidRPr="00FA40CC">
        <w:t xml:space="preserve"> </w:t>
      </w:r>
      <w:proofErr w:type="spellStart"/>
      <w:r w:rsidRPr="00FA40CC">
        <w:t>Subcapitata</w:t>
      </w:r>
      <w:proofErr w:type="spellEnd"/>
      <w:r w:rsidRPr="00FA40CC">
        <w:t>), slightly toxic to Daphnia Magna, and practically non-toxic to fish.  Practically</w:t>
      </w:r>
      <w:r>
        <w:t xml:space="preserve"> speaking</w:t>
      </w:r>
      <w:r w:rsidRPr="00FA40CC">
        <w:t>, aquatic species do not have a</w:t>
      </w:r>
      <w:r>
        <w:t xml:space="preserve"> high</w:t>
      </w:r>
      <w:r w:rsidRPr="00FA40CC">
        <w:t xml:space="preserve"> potential </w:t>
      </w:r>
      <w:r>
        <w:t>for</w:t>
      </w:r>
      <w:r w:rsidRPr="00FA40CC">
        <w:t xml:space="preserve"> exposure to the inhibitor in pure form but rather </w:t>
      </w:r>
      <w:r>
        <w:t>would be far more prone to encounter drilling fluid formulations.</w:t>
      </w:r>
      <w:r w:rsidRPr="00FA40CC">
        <w:t xml:space="preserve"> </w:t>
      </w:r>
      <w:r>
        <w:t>T</w:t>
      </w:r>
      <w:r w:rsidRPr="00FA40CC">
        <w:t>hus</w:t>
      </w:r>
      <w:r>
        <w:t>,</w:t>
      </w:r>
      <w:r w:rsidRPr="00FA40CC">
        <w:t xml:space="preserve"> testing for the toxicity of fully formulated drilling fluid</w:t>
      </w:r>
      <w:r>
        <w:t>s</w:t>
      </w:r>
      <w:r w:rsidRPr="00FA40CC">
        <w:t xml:space="preserve"> towards aquatic species is </w:t>
      </w:r>
      <w:r>
        <w:t>more</w:t>
      </w:r>
      <w:r w:rsidRPr="00FA40CC">
        <w:t xml:space="preserve"> relevant and </w:t>
      </w:r>
      <w:r>
        <w:t xml:space="preserve">would often be </w:t>
      </w:r>
      <w:r w:rsidRPr="00FA40CC">
        <w:t>expected to be less than that of the pure compound for each respective species a</w:t>
      </w:r>
      <w:r>
        <w:t>s</w:t>
      </w:r>
      <w:r w:rsidRPr="00FA40CC">
        <w:t xml:space="preserve"> predicted above. A 96 hour definitive bioassay was conducted on a Generic 7 drilling fluid containing up to 2 wt% of the inhibitor </w:t>
      </w:r>
      <w:r>
        <w:t>following</w:t>
      </w:r>
      <w:r w:rsidRPr="00FA40CC">
        <w:t xml:space="preserve"> EPA</w:t>
      </w:r>
      <w:r>
        <w:t>’</w:t>
      </w:r>
      <w:r w:rsidRPr="00FA40CC">
        <w:t xml:space="preserve">s </w:t>
      </w:r>
      <w:bookmarkStart w:id="9" w:name="OLE_LINK3"/>
      <w:r w:rsidRPr="00FA40CC">
        <w:t>Drilling Fluid Toxicity Test</w:t>
      </w:r>
      <w:bookmarkEnd w:id="9"/>
      <w:r w:rsidRPr="00FA40CC">
        <w:t xml:space="preserve"> guidelines (</w:t>
      </w:r>
      <w:r w:rsidRPr="00C3600A">
        <w:rPr>
          <w:b/>
        </w:rPr>
        <w:t>2</w:t>
      </w:r>
      <w:r>
        <w:rPr>
          <w:b/>
        </w:rPr>
        <w:t>4</w:t>
      </w:r>
      <w:r w:rsidRPr="00FA40CC">
        <w:t>).  The results showed a LC50 value</w:t>
      </w:r>
      <w:r>
        <w:t>,</w:t>
      </w:r>
      <w:r w:rsidRPr="00FA40CC">
        <w:t xml:space="preserve"> the concentration at which 50% of the test organisms respond</w:t>
      </w:r>
      <w:r>
        <w:t>,</w:t>
      </w:r>
      <w:r w:rsidRPr="00FA40CC">
        <w:t xml:space="preserve"> above 50,000</w:t>
      </w:r>
      <w:r>
        <w:t xml:space="preserve"> </w:t>
      </w:r>
      <w:r w:rsidRPr="00FA40CC">
        <w:t>ppm, thus passing the</w:t>
      </w:r>
      <w:r>
        <w:t xml:space="preserve"> guideline</w:t>
      </w:r>
      <w:r w:rsidRPr="00FA40CC">
        <w:t xml:space="preserve"> minimum requirement of 30,000</w:t>
      </w:r>
      <w:r>
        <w:t xml:space="preserve"> </w:t>
      </w:r>
      <w:r w:rsidRPr="00FA40CC">
        <w:t>ppm.</w:t>
      </w:r>
      <w:r>
        <w:t xml:space="preserve">  This very encouraging data indicates that our second generation inhibitor may generate remarkable inhibition performance as well as have minimal environmental impact.  Studies are ongoing and will be reported in due course.</w:t>
      </w:r>
    </w:p>
    <w:p w:rsidR="00F272F8" w:rsidRDefault="00F272F8" w:rsidP="00F272F8">
      <w:pPr>
        <w:pStyle w:val="AADEParagraph"/>
      </w:pPr>
      <w:r>
        <w:t xml:space="preserve">Environmental data </w:t>
      </w:r>
      <w:bookmarkStart w:id="10" w:name="OLE_LINK20"/>
      <w:r>
        <w:t>for Chemistries A, B, and an industry leading amine</w:t>
      </w:r>
      <w:bookmarkEnd w:id="10"/>
      <w:r>
        <w:t xml:space="preserve"> that encompass toxicity and biodegradation test results, as well as partition coefficients is summarized in Table 1.  It shows an evolution in improvements in toxicity and biodegradation results within the series.  Chemistry A exhibits very good toxicity data but poor biodegradation, an element that Chemistry B improves upon.  A high end industry leading amine, in spite of an excellent shale performance, can have very poor toxicity and biodegradation characteristics.</w:t>
      </w:r>
    </w:p>
    <w:p w:rsidR="00BE563E" w:rsidRPr="00BE563E" w:rsidRDefault="00BE563E" w:rsidP="00F272F8">
      <w:pPr>
        <w:pStyle w:val="para1"/>
        <w:ind w:firstLine="0"/>
      </w:pPr>
    </w:p>
    <w:p w:rsidR="00BE563E" w:rsidRDefault="00BE563E" w:rsidP="00BE563E">
      <w:pPr>
        <w:pStyle w:val="Head1"/>
        <w:outlineLvl w:val="0"/>
      </w:pPr>
      <w:r>
        <w:t>Tables</w:t>
      </w:r>
    </w:p>
    <w:p w:rsidR="00CD0AD4" w:rsidRDefault="00F272F8" w:rsidP="00554DE4">
      <w:pPr>
        <w:pStyle w:val="AADEParagraph"/>
      </w:pPr>
      <w:r>
        <w:t xml:space="preserve">Table 1.  </w:t>
      </w:r>
      <w:proofErr w:type="gramStart"/>
      <w:r w:rsidRPr="0050581B">
        <w:t>A</w:t>
      </w:r>
      <w:r>
        <w:t xml:space="preserve"> review of the environmental data for </w:t>
      </w:r>
      <w:bookmarkStart w:id="11" w:name="OLE_LINK19"/>
      <w:r>
        <w:t xml:space="preserve">Chemistries A, B, and </w:t>
      </w:r>
      <w:r w:rsidR="00CD0AD4">
        <w:t xml:space="preserve">two </w:t>
      </w:r>
      <w:r>
        <w:t>industry</w:t>
      </w:r>
      <w:r w:rsidR="00CD0AD4">
        <w:t xml:space="preserve"> </w:t>
      </w:r>
      <w:bookmarkEnd w:id="11"/>
      <w:r w:rsidR="00CD0AD4">
        <w:t>standard amines</w:t>
      </w:r>
      <w:r>
        <w:t>.</w:t>
      </w:r>
      <w:proofErr w:type="gramEnd"/>
    </w:p>
    <w:p w:rsidR="00F97D6B" w:rsidRPr="00F272F8" w:rsidRDefault="00F272F8" w:rsidP="00554DE4">
      <w:pPr>
        <w:pStyle w:val="AADEParagraph"/>
        <w:rPr>
          <w:b/>
          <w:i/>
          <w:sz w:val="24"/>
          <w:szCs w:val="24"/>
        </w:rPr>
      </w:pPr>
      <w:r>
        <w:t xml:space="preserve"> </w:t>
      </w:r>
    </w:p>
    <w:p w:rsidR="00F272F8" w:rsidRDefault="003C65D0" w:rsidP="00B305E2">
      <w:pPr>
        <w:jc w:val="both"/>
        <w:rPr>
          <w:highlight w:val="yellow"/>
        </w:rPr>
      </w:pPr>
      <w:r>
        <w:rPr>
          <w:noProof/>
          <w:lang w:eastAsia="en-US"/>
        </w:rPr>
        <w:drawing>
          <wp:anchor distT="0" distB="0" distL="114300" distR="114300" simplePos="0" relativeHeight="251658752" behindDoc="0" locked="0" layoutInCell="1" allowOverlap="1">
            <wp:simplePos x="0" y="0"/>
            <wp:positionH relativeFrom="column">
              <wp:posOffset>4445</wp:posOffset>
            </wp:positionH>
            <wp:positionV relativeFrom="paragraph">
              <wp:posOffset>4445</wp:posOffset>
            </wp:positionV>
            <wp:extent cx="3200400" cy="1986915"/>
            <wp:effectExtent l="0" t="0" r="0" b="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986915"/>
                    </a:xfrm>
                    <a:prstGeom prst="rect">
                      <a:avLst/>
                    </a:prstGeom>
                    <a:noFill/>
                    <a:ln>
                      <a:noFill/>
                    </a:ln>
                  </pic:spPr>
                </pic:pic>
              </a:graphicData>
            </a:graphic>
          </wp:anchor>
        </w:drawing>
      </w:r>
    </w:p>
    <w:p w:rsidR="00BE563E" w:rsidRPr="00117398" w:rsidRDefault="00BE563E" w:rsidP="00BE563E">
      <w:pPr>
        <w:pStyle w:val="para"/>
      </w:pPr>
    </w:p>
    <w:p w:rsidR="006818D0" w:rsidRPr="006818D0" w:rsidRDefault="00BE563E" w:rsidP="006818D0">
      <w:pPr>
        <w:pStyle w:val="Head1"/>
        <w:outlineLvl w:val="0"/>
      </w:pPr>
      <w:r>
        <w:lastRenderedPageBreak/>
        <w:t>Figures</w:t>
      </w:r>
    </w:p>
    <w:p w:rsidR="00A7379D" w:rsidRDefault="00A7379D" w:rsidP="00A7379D">
      <w:pPr>
        <w:jc w:val="both"/>
      </w:pPr>
      <w:r>
        <w:rPr>
          <w:noProof/>
          <w:lang w:eastAsia="en-US"/>
        </w:rPr>
        <w:drawing>
          <wp:inline distT="0" distB="0" distL="0" distR="0">
            <wp:extent cx="3204591" cy="3050275"/>
            <wp:effectExtent l="19050" t="0" r="0" b="0"/>
            <wp:docPr id="4" name="Picture 14" descr="EDA contour branch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 contour branching 2.png"/>
                    <pic:cNvPicPr/>
                  </pic:nvPicPr>
                  <pic:blipFill>
                    <a:blip r:embed="rId13" cstate="print"/>
                    <a:stretch>
                      <a:fillRect/>
                    </a:stretch>
                  </pic:blipFill>
                  <pic:spPr>
                    <a:xfrm>
                      <a:off x="0" y="0"/>
                      <a:ext cx="3206986" cy="3052554"/>
                    </a:xfrm>
                    <a:prstGeom prst="rect">
                      <a:avLst/>
                    </a:prstGeom>
                  </pic:spPr>
                </pic:pic>
              </a:graphicData>
            </a:graphic>
          </wp:inline>
        </w:drawing>
      </w:r>
    </w:p>
    <w:p w:rsidR="00A7379D" w:rsidRDefault="00A7379D" w:rsidP="00554DE4">
      <w:pPr>
        <w:pStyle w:val="AADEParagraph"/>
      </w:pPr>
      <w:r>
        <w:t xml:space="preserve">Figure 1.  </w:t>
      </w:r>
      <w:bookmarkStart w:id="12" w:name="OLE_LINK4"/>
      <w:r>
        <w:t xml:space="preserve">Surface plot of shale inhibition performance based on recovery for a series of </w:t>
      </w:r>
      <w:r w:rsidRPr="00FA40CC">
        <w:t>substituted amines with alcohol functionality</w:t>
      </w:r>
      <w:r>
        <w:t xml:space="preserve"> as a function of molecular weight and branching ratio.  Purple indicates poor performance (performance values &lt;30% where 0% is the minimum value possible or no recovery) and red indicates excellent performance (performance values &gt;80% where 100% is maximum possible or 100% recovery).  The molecular weight axis indicates relative size of the molecule with higher numbers representing higher molecular weight.  Similarly, the branching ratio axis indicates relative degree of branching in the molecule with one representing the maximum amount of branching possible and zero representing no branching present.  </w:t>
      </w:r>
      <w:bookmarkEnd w:id="12"/>
    </w:p>
    <w:p w:rsidR="006818D0" w:rsidRDefault="006818D0" w:rsidP="00A7379D">
      <w:pPr>
        <w:jc w:val="both"/>
      </w:pPr>
    </w:p>
    <w:p w:rsidR="00A7379D" w:rsidRDefault="00A7379D" w:rsidP="00A7379D">
      <w:pPr>
        <w:jc w:val="both"/>
      </w:pPr>
      <w:r>
        <w:rPr>
          <w:noProof/>
          <w:lang w:eastAsia="en-US"/>
        </w:rPr>
        <w:drawing>
          <wp:inline distT="0" distB="0" distL="0" distR="0">
            <wp:extent cx="3210288" cy="2784143"/>
            <wp:effectExtent l="19050" t="0" r="9162" b="0"/>
            <wp:docPr id="5" name="Picture 1" descr="EDA contour am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 contour amine 2.png"/>
                    <pic:cNvPicPr/>
                  </pic:nvPicPr>
                  <pic:blipFill>
                    <a:blip r:embed="rId14" cstate="print"/>
                    <a:stretch>
                      <a:fillRect/>
                    </a:stretch>
                  </pic:blipFill>
                  <pic:spPr>
                    <a:xfrm>
                      <a:off x="0" y="0"/>
                      <a:ext cx="3210866" cy="2784644"/>
                    </a:xfrm>
                    <a:prstGeom prst="rect">
                      <a:avLst/>
                    </a:prstGeom>
                  </pic:spPr>
                </pic:pic>
              </a:graphicData>
            </a:graphic>
          </wp:inline>
        </w:drawing>
      </w:r>
    </w:p>
    <w:p w:rsidR="00A7379D" w:rsidRPr="00FA40CC" w:rsidRDefault="00A7379D" w:rsidP="00554DE4">
      <w:pPr>
        <w:pStyle w:val="AADEParagraph"/>
      </w:pPr>
      <w:r>
        <w:t xml:space="preserve">Figure 2.  Surface plot of shale inhibition performance </w:t>
      </w:r>
      <w:r>
        <w:lastRenderedPageBreak/>
        <w:t xml:space="preserve">based on recovery for a series of </w:t>
      </w:r>
      <w:r w:rsidRPr="00FA40CC">
        <w:t>substituted amines with alcohol functionality</w:t>
      </w:r>
      <w:r>
        <w:t xml:space="preserve"> as a function of molecular weight and amine content.  Purple indicates poor performance (performance values &lt;45% where 0% is minimum value possible or no recovery) and red indicates excellent performance (performance values &gt;80% where 100% is maximum possible or 100% recovery).  The molecular weight axis indicates relative size of the molecule with higher numbers representing higher molecular weight.  Similarly, the amine content axis indicates relative amount of amine present in the molecule with</w:t>
      </w:r>
      <w:r w:rsidRPr="00BF5AD3">
        <w:t xml:space="preserve"> </w:t>
      </w:r>
      <w:r>
        <w:t xml:space="preserve">higher numbers representing increased amine content.  </w:t>
      </w:r>
    </w:p>
    <w:p w:rsidR="00A7379D" w:rsidRDefault="00A7379D" w:rsidP="00A7379D">
      <w:pPr>
        <w:jc w:val="both"/>
      </w:pPr>
    </w:p>
    <w:p w:rsidR="00A7379D" w:rsidRDefault="004623D0" w:rsidP="00A7379D">
      <w:pPr>
        <w:jc w:val="both"/>
      </w:pPr>
      <w:r>
        <w:rPr>
          <w:noProof/>
          <w:lang w:eastAsia="en-US"/>
        </w:rPr>
        <w:drawing>
          <wp:inline distT="0" distB="0" distL="0" distR="0">
            <wp:extent cx="3200400" cy="3107055"/>
            <wp:effectExtent l="19050" t="0" r="0" b="0"/>
            <wp:docPr id="1" name="Picture 0" descr="Oxysolv coun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ysolv countour.png"/>
                    <pic:cNvPicPr/>
                  </pic:nvPicPr>
                  <pic:blipFill>
                    <a:blip r:embed="rId15"/>
                    <a:stretch>
                      <a:fillRect/>
                    </a:stretch>
                  </pic:blipFill>
                  <pic:spPr>
                    <a:xfrm>
                      <a:off x="0" y="0"/>
                      <a:ext cx="3200400" cy="3107055"/>
                    </a:xfrm>
                    <a:prstGeom prst="rect">
                      <a:avLst/>
                    </a:prstGeom>
                  </pic:spPr>
                </pic:pic>
              </a:graphicData>
            </a:graphic>
          </wp:inline>
        </w:drawing>
      </w:r>
    </w:p>
    <w:p w:rsidR="00A7379D" w:rsidRDefault="00A7379D" w:rsidP="00554DE4">
      <w:pPr>
        <w:pStyle w:val="AADEParagraph"/>
      </w:pPr>
      <w:r>
        <w:t xml:space="preserve">Figure 3.  </w:t>
      </w:r>
      <w:proofErr w:type="gramStart"/>
      <w:r>
        <w:t xml:space="preserve">Surface plot of shale inhibition performance based on recovery for a series of </w:t>
      </w:r>
      <w:r w:rsidRPr="00FA40CC">
        <w:t xml:space="preserve">primary amines with no alcohol functionality but with hydrophobic groups </w:t>
      </w:r>
      <w:r>
        <w:t>as a function of molecular weight and hydrophobic length.</w:t>
      </w:r>
      <w:proofErr w:type="gramEnd"/>
      <w:r>
        <w:t xml:space="preserve">  Purple indicates poor performance (performance values &lt;40% where 0% is minimum value possible or no recovery) and red indicates excellent performance (performance values &gt;85% where 100% is maximum possible or 100% recovery).  The molecular weight axis indicates relative size of the molecule, with higher numbers representing higher molecular weight.  Similarly, the hydrophobic length axis indicates relative</w:t>
      </w:r>
      <w:r w:rsidR="004623D0">
        <w:t>, normalized</w:t>
      </w:r>
      <w:r>
        <w:t xml:space="preserve"> length of the hydrophobic moiety present in the molecule with</w:t>
      </w:r>
      <w:r w:rsidRPr="00BF5AD3">
        <w:t xml:space="preserve"> </w:t>
      </w:r>
      <w:r>
        <w:t xml:space="preserve">higher numbers representing increased </w:t>
      </w:r>
      <w:proofErr w:type="spellStart"/>
      <w:r>
        <w:t>hydrophobe</w:t>
      </w:r>
      <w:proofErr w:type="spellEnd"/>
      <w:r>
        <w:t xml:space="preserve"> length.  </w:t>
      </w:r>
    </w:p>
    <w:p w:rsidR="00F272F8" w:rsidRDefault="00F272F8" w:rsidP="00A7379D">
      <w:pPr>
        <w:jc w:val="both"/>
      </w:pPr>
    </w:p>
    <w:p w:rsidR="00F272F8" w:rsidRDefault="00F272F8" w:rsidP="00F272F8">
      <w:pPr>
        <w:jc w:val="both"/>
      </w:pPr>
      <w:r>
        <w:rPr>
          <w:noProof/>
          <w:lang w:eastAsia="en-US"/>
        </w:rPr>
        <w:lastRenderedPageBreak/>
        <w:drawing>
          <wp:inline distT="0" distB="0" distL="0" distR="0">
            <wp:extent cx="3237147" cy="1985691"/>
            <wp:effectExtent l="19050" t="0" r="1353"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240144" cy="1987529"/>
                    </a:xfrm>
                    <a:prstGeom prst="rect">
                      <a:avLst/>
                    </a:prstGeom>
                    <a:noFill/>
                  </pic:spPr>
                </pic:pic>
              </a:graphicData>
            </a:graphic>
          </wp:inline>
        </w:drawing>
      </w:r>
    </w:p>
    <w:p w:rsidR="00F272F8" w:rsidRDefault="00F272F8" w:rsidP="00554DE4">
      <w:pPr>
        <w:pStyle w:val="AADEParagraph"/>
      </w:pPr>
      <w:r>
        <w:t xml:space="preserve">Figure 4.  Hardness data on London shale of the two candidate materials </w:t>
      </w:r>
      <w:bookmarkStart w:id="13" w:name="OLE_LINK11"/>
      <w:r>
        <w:t xml:space="preserve">(Chemistry A and B) </w:t>
      </w:r>
      <w:bookmarkEnd w:id="13"/>
      <w:r>
        <w:t xml:space="preserve">versus two benchmarks </w:t>
      </w:r>
      <w:proofErr w:type="spellStart"/>
      <w:r>
        <w:t>KCl</w:t>
      </w:r>
      <w:proofErr w:type="spellEnd"/>
      <w:r>
        <w:t>/</w:t>
      </w:r>
      <w:bookmarkStart w:id="14" w:name="OLE_LINK18"/>
      <w:proofErr w:type="gramStart"/>
      <w:r>
        <w:rPr>
          <w:rFonts w:cs="Calibri"/>
        </w:rPr>
        <w:t>poly(</w:t>
      </w:r>
      <w:proofErr w:type="gramEnd"/>
      <w:r>
        <w:rPr>
          <w:rFonts w:cs="Calibri"/>
        </w:rPr>
        <w:t>ethylene glycol) butyl ether</w:t>
      </w:r>
      <w:r>
        <w:t xml:space="preserve"> (DCP 208) </w:t>
      </w:r>
      <w:bookmarkEnd w:id="14"/>
      <w:r>
        <w:t>and a high end performing industry amine.</w:t>
      </w:r>
    </w:p>
    <w:p w:rsidR="00F272F8" w:rsidRDefault="00F272F8" w:rsidP="00A7379D">
      <w:pPr>
        <w:jc w:val="both"/>
      </w:pPr>
    </w:p>
    <w:p w:rsidR="00F272F8" w:rsidRDefault="00F272F8" w:rsidP="00F272F8">
      <w:pPr>
        <w:jc w:val="both"/>
      </w:pPr>
      <w:r>
        <w:rPr>
          <w:noProof/>
          <w:lang w:eastAsia="en-US"/>
        </w:rPr>
        <w:drawing>
          <wp:inline distT="0" distB="0" distL="0" distR="0">
            <wp:extent cx="3162869" cy="1794681"/>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163710" cy="1795158"/>
                    </a:xfrm>
                    <a:prstGeom prst="rect">
                      <a:avLst/>
                    </a:prstGeom>
                    <a:noFill/>
                  </pic:spPr>
                </pic:pic>
              </a:graphicData>
            </a:graphic>
          </wp:inline>
        </w:drawing>
      </w:r>
    </w:p>
    <w:p w:rsidR="00F272F8" w:rsidRDefault="00F272F8" w:rsidP="00554DE4">
      <w:pPr>
        <w:pStyle w:val="AADEParagraph"/>
      </w:pPr>
      <w:r>
        <w:t xml:space="preserve">Figure 5. Slake Durability (cage recovery) on London shale of the two candidate materials (Chemistry A and B) versus two benchmarks </w:t>
      </w:r>
      <w:proofErr w:type="spellStart"/>
      <w:r>
        <w:t>KCl</w:t>
      </w:r>
      <w:proofErr w:type="spellEnd"/>
      <w:r>
        <w:t>/</w:t>
      </w:r>
      <w:r w:rsidRPr="00932244">
        <w:rPr>
          <w:rFonts w:cs="Calibri"/>
        </w:rPr>
        <w:t xml:space="preserve"> </w:t>
      </w:r>
      <w:proofErr w:type="gramStart"/>
      <w:r>
        <w:rPr>
          <w:rFonts w:cs="Calibri"/>
        </w:rPr>
        <w:t>poly(</w:t>
      </w:r>
      <w:proofErr w:type="gramEnd"/>
      <w:r>
        <w:rPr>
          <w:rFonts w:cs="Calibri"/>
        </w:rPr>
        <w:t>ethylene glycol) butyl ether</w:t>
      </w:r>
      <w:r>
        <w:t xml:space="preserve"> (DCP 208) and a high end industry leading amine.</w:t>
      </w:r>
    </w:p>
    <w:p w:rsidR="00A7379D" w:rsidRDefault="00A7379D" w:rsidP="00A7379D">
      <w:pPr>
        <w:jc w:val="both"/>
      </w:pPr>
    </w:p>
    <w:p w:rsidR="00F272F8" w:rsidRDefault="00F272F8" w:rsidP="00F272F8">
      <w:pPr>
        <w:jc w:val="both"/>
      </w:pPr>
      <w:r>
        <w:rPr>
          <w:noProof/>
          <w:lang w:eastAsia="en-US"/>
        </w:rPr>
        <w:drawing>
          <wp:inline distT="0" distB="0" distL="0" distR="0">
            <wp:extent cx="3132347" cy="1985749"/>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135161" cy="1987533"/>
                    </a:xfrm>
                    <a:prstGeom prst="rect">
                      <a:avLst/>
                    </a:prstGeom>
                    <a:noFill/>
                  </pic:spPr>
                </pic:pic>
              </a:graphicData>
            </a:graphic>
          </wp:inline>
        </w:drawing>
      </w:r>
    </w:p>
    <w:p w:rsidR="00F272F8" w:rsidRDefault="00F272F8" w:rsidP="00554DE4">
      <w:pPr>
        <w:pStyle w:val="AADEParagraph"/>
      </w:pPr>
      <w:r>
        <w:t xml:space="preserve">Figure 6.  Hardness data on Oxford </w:t>
      </w:r>
      <w:r w:rsidR="00253E45">
        <w:t xml:space="preserve">shale </w:t>
      </w:r>
      <w:r>
        <w:t xml:space="preserve">of the two candidate materials (Chemistry A and B) versus benchmarks consisting of </w:t>
      </w:r>
      <w:proofErr w:type="gramStart"/>
      <w:r>
        <w:rPr>
          <w:rFonts w:cs="Calibri"/>
        </w:rPr>
        <w:t>poly(</w:t>
      </w:r>
      <w:proofErr w:type="gramEnd"/>
      <w:r>
        <w:rPr>
          <w:rFonts w:cs="Calibri"/>
        </w:rPr>
        <w:t>ethylene glycol) butyl ether</w:t>
      </w:r>
      <w:r>
        <w:t xml:space="preserve"> (DCP 208), with and without added </w:t>
      </w:r>
      <w:proofErr w:type="spellStart"/>
      <w:r>
        <w:t>KCl</w:t>
      </w:r>
      <w:proofErr w:type="spellEnd"/>
      <w:r>
        <w:t>, and a high end industry leading amine.</w:t>
      </w:r>
    </w:p>
    <w:p w:rsidR="00F272F8" w:rsidRDefault="00F272F8" w:rsidP="00A7379D">
      <w:pPr>
        <w:jc w:val="both"/>
      </w:pPr>
    </w:p>
    <w:p w:rsidR="00F272F8" w:rsidRDefault="00F272F8" w:rsidP="00F272F8">
      <w:pPr>
        <w:jc w:val="both"/>
      </w:pPr>
      <w:r>
        <w:rPr>
          <w:noProof/>
          <w:lang w:eastAsia="en-US"/>
        </w:rPr>
        <w:lastRenderedPageBreak/>
        <w:drawing>
          <wp:inline distT="0" distB="0" distL="0" distR="0">
            <wp:extent cx="3201822" cy="1958845"/>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203996" cy="1960175"/>
                    </a:xfrm>
                    <a:prstGeom prst="rect">
                      <a:avLst/>
                    </a:prstGeom>
                    <a:noFill/>
                  </pic:spPr>
                </pic:pic>
              </a:graphicData>
            </a:graphic>
          </wp:inline>
        </w:drawing>
      </w:r>
    </w:p>
    <w:p w:rsidR="00F272F8" w:rsidRDefault="00F272F8" w:rsidP="00554DE4">
      <w:pPr>
        <w:pStyle w:val="AADEParagraph"/>
      </w:pPr>
      <w:r>
        <w:t xml:space="preserve">Figure 7. Slake Durability (cage recovery) on Oxford </w:t>
      </w:r>
      <w:r w:rsidR="00253E45">
        <w:t xml:space="preserve">shale </w:t>
      </w:r>
      <w:r>
        <w:t xml:space="preserve">of the two candidate materials (Chemistry A and B) versus benchmarks consisting of </w:t>
      </w:r>
      <w:proofErr w:type="gramStart"/>
      <w:r>
        <w:rPr>
          <w:rFonts w:cs="Calibri"/>
        </w:rPr>
        <w:t>poly(</w:t>
      </w:r>
      <w:proofErr w:type="gramEnd"/>
      <w:r>
        <w:rPr>
          <w:rFonts w:cs="Calibri"/>
        </w:rPr>
        <w:t>ethylene glycol) butyl ether</w:t>
      </w:r>
      <w:r>
        <w:t xml:space="preserve"> (DCP 208), with and without added </w:t>
      </w:r>
      <w:proofErr w:type="spellStart"/>
      <w:r>
        <w:t>KCl</w:t>
      </w:r>
      <w:proofErr w:type="spellEnd"/>
      <w:r>
        <w:t>, and a high end industry leading amine.</w:t>
      </w:r>
    </w:p>
    <w:p w:rsidR="00AB1687" w:rsidRPr="00FB5675" w:rsidRDefault="00AB1687" w:rsidP="00AB1687">
      <w:pPr>
        <w:pStyle w:val="Head1"/>
        <w:rPr>
          <w:b w:val="0"/>
          <w:bCs w:val="0"/>
        </w:rPr>
      </w:pPr>
    </w:p>
    <w:p w:rsidR="00611767" w:rsidRDefault="00611767">
      <w:pPr>
        <w:pStyle w:val="para"/>
        <w:rPr>
          <w:b/>
        </w:rPr>
      </w:pPr>
      <w:r>
        <w:rPr>
          <w:b/>
        </w:rPr>
        <w:t>Conclusions</w:t>
      </w:r>
    </w:p>
    <w:p w:rsidR="00A7379D" w:rsidRDefault="00A7379D" w:rsidP="00A7379D">
      <w:pPr>
        <w:pStyle w:val="AADEParagraph"/>
      </w:pPr>
      <w:r w:rsidRPr="0050581B">
        <w:t xml:space="preserve">The </w:t>
      </w:r>
      <w:r>
        <w:t xml:space="preserve">main goal for this investigation was to identify new chemistries that have enhanced shale inhibition characteristics that could be utilized in freshwater systems which also have enhanced toxicity and biodegradation profiles.  The focus of these efforts would be for land drilling in environmentally sensitive locations e.g. the Amazon in Latin America, Europe, East Africa and US; where environmental regulations are </w:t>
      </w:r>
      <w:r w:rsidR="005909BE">
        <w:t xml:space="preserve">either </w:t>
      </w:r>
      <w:r>
        <w:t>already stringent, or are changing rapidly and becoming more challenging.  To this end, extensive experiments were performed to identify not only new chemistries, but also structural factors that contribute to excellent shale inhibition.  As a result, a novel chemistry was identified and developed that shows excellent performance across economic, technical and environmental parameters (Inhibitor Chemistry A).  This chemistry represents an excellent replacement for, and a significant improvement on glycol/</w:t>
      </w:r>
      <w:proofErr w:type="spellStart"/>
      <w:r>
        <w:t>KCl</w:t>
      </w:r>
      <w:proofErr w:type="spellEnd"/>
      <w:r>
        <w:t xml:space="preserve"> systems.  We have also identified and are further validating a next generation inhibitor (Chemistry B) with superior performance for the most demanding applications needing enhanced performance, toxicity, and biodegradation character.   The methodology presented allowed the development of new chemistry and an improved understanding of how molecular structure affects both shale inhibition performance and environmental impact.  This knowledge will enable continued new product development and will benefit the drilling industry by providing improved materials and expertise to mitigate formation damage.</w:t>
      </w:r>
    </w:p>
    <w:p w:rsidR="00611767" w:rsidRDefault="00611767">
      <w:pPr>
        <w:pStyle w:val="Nomenclature"/>
        <w:tabs>
          <w:tab w:val="clear" w:pos="806"/>
          <w:tab w:val="clear" w:pos="878"/>
          <w:tab w:val="left" w:pos="-1170"/>
          <w:tab w:val="right" w:pos="720"/>
          <w:tab w:val="right" w:pos="1260"/>
        </w:tabs>
        <w:ind w:left="0" w:firstLine="0"/>
      </w:pPr>
    </w:p>
    <w:p w:rsidR="00AB1687" w:rsidRDefault="00AB1687" w:rsidP="00AB1687">
      <w:pPr>
        <w:pStyle w:val="Head1"/>
        <w:outlineLvl w:val="0"/>
      </w:pPr>
      <w:r>
        <w:t>References</w:t>
      </w:r>
    </w:p>
    <w:p w:rsidR="00F272F8" w:rsidRDefault="00AB1687" w:rsidP="00F272F8">
      <w:pPr>
        <w:pStyle w:val="AADEReferencees"/>
      </w:pPr>
      <w:r w:rsidRPr="003A0E1B">
        <w:tab/>
        <w:t>1.</w:t>
      </w:r>
      <w:r w:rsidRPr="003A0E1B">
        <w:tab/>
      </w:r>
      <w:proofErr w:type="spellStart"/>
      <w:r w:rsidR="00F272F8">
        <w:t>Lal</w:t>
      </w:r>
      <w:proofErr w:type="spellEnd"/>
      <w:r w:rsidR="00F272F8">
        <w:t>, M. Shale Stability: Drilling Fluid Interaction and Shale Strength. SPE Paper 54356; Presented at the Latin American and Caribbean Petroleum Engineering Conference, Caracas, 21-21 April 1999.</w:t>
      </w:r>
    </w:p>
    <w:p w:rsidR="00F272F8" w:rsidRDefault="00F272F8" w:rsidP="00F272F8">
      <w:pPr>
        <w:pStyle w:val="AADEReferencees"/>
      </w:pPr>
      <w:r>
        <w:tab/>
        <w:t xml:space="preserve">2. </w:t>
      </w:r>
      <w:r>
        <w:tab/>
      </w:r>
      <w:proofErr w:type="spellStart"/>
      <w:r>
        <w:t>Bloy</w:t>
      </w:r>
      <w:proofErr w:type="spellEnd"/>
      <w:r>
        <w:t xml:space="preserve">, B.; Davis, N.; </w:t>
      </w:r>
      <w:proofErr w:type="spellStart"/>
      <w:r>
        <w:t>Smolen</w:t>
      </w:r>
      <w:proofErr w:type="spellEnd"/>
      <w:r>
        <w:t xml:space="preserve">, B.; Bailey, L.; </w:t>
      </w:r>
      <w:proofErr w:type="spellStart"/>
      <w:r>
        <w:t>Houwen</w:t>
      </w:r>
      <w:proofErr w:type="spellEnd"/>
      <w:r>
        <w:t xml:space="preserve">, O.; Reid, P.; Sherwood, J. Fraser, L.; Hodder, M. Designing and Managing Drilling Fluid.  </w:t>
      </w:r>
      <w:r w:rsidRPr="00F9045A">
        <w:rPr>
          <w:i/>
        </w:rPr>
        <w:t>Oilfield Rev.</w:t>
      </w:r>
      <w:r>
        <w:t xml:space="preserve"> </w:t>
      </w:r>
      <w:r w:rsidRPr="00F9045A">
        <w:rPr>
          <w:b/>
        </w:rPr>
        <w:t>1994</w:t>
      </w:r>
      <w:r>
        <w:t>, April, 33-43.</w:t>
      </w:r>
    </w:p>
    <w:p w:rsidR="00F272F8" w:rsidRDefault="00833B8E" w:rsidP="00F272F8">
      <w:pPr>
        <w:pStyle w:val="AADEReferencees"/>
      </w:pPr>
      <w:bookmarkStart w:id="15" w:name="OLE_LINK62"/>
      <w:bookmarkStart w:id="16" w:name="OLE_LINK63"/>
      <w:r>
        <w:tab/>
        <w:t xml:space="preserve">3. </w:t>
      </w:r>
      <w:r>
        <w:tab/>
      </w:r>
      <w:r w:rsidR="00F272F8">
        <w:t xml:space="preserve">McLean, A.; Wilde, A.; Zamora, M.; Rafferty, M. “The Top 10 </w:t>
      </w:r>
      <w:r w:rsidR="00F272F8">
        <w:lastRenderedPageBreak/>
        <w:t>Mud-Related Concerns in Deepwater Drilling Operations – Revisited After 10 Years,”  Paper AADE-10-DF-HO-04; Presented at the American Association of Drilling Engineers Conference, Houston, 6-7 April 2010.</w:t>
      </w:r>
      <w:bookmarkEnd w:id="15"/>
      <w:bookmarkEnd w:id="16"/>
    </w:p>
    <w:p w:rsidR="00F272F8" w:rsidRDefault="00833B8E" w:rsidP="00F272F8">
      <w:pPr>
        <w:pStyle w:val="AADEReferencees"/>
      </w:pPr>
      <w:r>
        <w:tab/>
        <w:t xml:space="preserve">4. </w:t>
      </w:r>
      <w:r>
        <w:tab/>
      </w:r>
      <w:r w:rsidR="00F272F8">
        <w:t xml:space="preserve">Zamora, M.; Broussard, P. N.; Stephens, M.P. “The Top 10 Mud-Related Concerns in Deepwater Drilling Operations,” </w:t>
      </w:r>
      <w:bookmarkStart w:id="17" w:name="OLE_LINK2"/>
      <w:r w:rsidR="00F272F8">
        <w:t>SPE Paper 59019; Presented at the International Petroleum Conference and Exhibition, Villahermosa, 1-3 February 2000.</w:t>
      </w:r>
      <w:bookmarkEnd w:id="17"/>
    </w:p>
    <w:p w:rsidR="00F272F8" w:rsidRDefault="00833B8E" w:rsidP="00F272F8">
      <w:pPr>
        <w:pStyle w:val="AADEReferencees"/>
      </w:pPr>
      <w:r>
        <w:tab/>
        <w:t xml:space="preserve">5. </w:t>
      </w:r>
      <w:r>
        <w:tab/>
      </w:r>
      <w:proofErr w:type="spellStart"/>
      <w:r w:rsidR="00F272F8">
        <w:t>Santarelli</w:t>
      </w:r>
      <w:proofErr w:type="spellEnd"/>
      <w:r w:rsidR="00F272F8">
        <w:t xml:space="preserve">, F. J.; </w:t>
      </w:r>
      <w:proofErr w:type="spellStart"/>
      <w:r w:rsidR="00F272F8">
        <w:t>Carminati</w:t>
      </w:r>
      <w:proofErr w:type="spellEnd"/>
      <w:r w:rsidR="00F272F8">
        <w:t xml:space="preserve">, S.  Do </w:t>
      </w:r>
      <w:proofErr w:type="spellStart"/>
      <w:r w:rsidR="00F272F8">
        <w:t>Shales</w:t>
      </w:r>
      <w:proofErr w:type="spellEnd"/>
      <w:r w:rsidR="00F272F8">
        <w:t xml:space="preserve"> Swell? </w:t>
      </w:r>
      <w:proofErr w:type="gramStart"/>
      <w:r w:rsidR="00F272F8">
        <w:t>A Critical Review of Available Evidence.</w:t>
      </w:r>
      <w:proofErr w:type="gramEnd"/>
      <w:r w:rsidR="00F272F8">
        <w:t xml:space="preserve"> Paper 29421; Presented at the SPE/IADC Drilling Conference, Amsterdam, 28 February – 2 March 1995.</w:t>
      </w:r>
    </w:p>
    <w:p w:rsidR="00F272F8" w:rsidRDefault="00833B8E" w:rsidP="00F272F8">
      <w:pPr>
        <w:pStyle w:val="AADEReferencees"/>
      </w:pPr>
      <w:r>
        <w:tab/>
        <w:t xml:space="preserve">6. </w:t>
      </w:r>
      <w:r>
        <w:tab/>
      </w:r>
      <w:r w:rsidR="00F272F8">
        <w:t xml:space="preserve">Gray, D. H.; Rex, R. W. Formation Damage in Sandstones Caused by Clay Dispersion and Migration. </w:t>
      </w:r>
      <w:r w:rsidR="00F272F8" w:rsidRPr="008E333D">
        <w:rPr>
          <w:i/>
        </w:rPr>
        <w:t>Clays &amp; Clay Minerals</w:t>
      </w:r>
      <w:r w:rsidR="00F272F8">
        <w:t xml:space="preserve"> </w:t>
      </w:r>
      <w:r w:rsidR="00F272F8" w:rsidRPr="008E333D">
        <w:rPr>
          <w:b/>
        </w:rPr>
        <w:t>1966</w:t>
      </w:r>
      <w:r w:rsidR="00F272F8">
        <w:t xml:space="preserve">, </w:t>
      </w:r>
      <w:r w:rsidR="00F272F8" w:rsidRPr="008E333D">
        <w:rPr>
          <w:i/>
        </w:rPr>
        <w:t>14</w:t>
      </w:r>
      <w:r w:rsidR="00F272F8">
        <w:t>, 355-366.</w:t>
      </w:r>
    </w:p>
    <w:p w:rsidR="00F272F8" w:rsidRDefault="00833B8E" w:rsidP="00F272F8">
      <w:pPr>
        <w:pStyle w:val="AADEReferencees"/>
      </w:pPr>
      <w:r>
        <w:tab/>
        <w:t xml:space="preserve">7. </w:t>
      </w:r>
      <w:r>
        <w:tab/>
      </w:r>
      <w:r w:rsidR="00F272F8">
        <w:t xml:space="preserve">Reid, P. I.; Harrington, P. M.; Minton, R. C. Shale Tests Help Develop Inhibitive Water-Based Muds. </w:t>
      </w:r>
      <w:r w:rsidR="00F272F8" w:rsidRPr="00D619DA">
        <w:rPr>
          <w:i/>
        </w:rPr>
        <w:t>Ocean Ind.</w:t>
      </w:r>
      <w:r w:rsidR="00F272F8">
        <w:t xml:space="preserve"> </w:t>
      </w:r>
      <w:r w:rsidR="00F272F8" w:rsidRPr="00D619DA">
        <w:rPr>
          <w:b/>
        </w:rPr>
        <w:t>1991</w:t>
      </w:r>
      <w:r w:rsidR="00F272F8">
        <w:t xml:space="preserve">, </w:t>
      </w:r>
      <w:proofErr w:type="gramStart"/>
      <w:r w:rsidR="00F272F8">
        <w:t>October,</w:t>
      </w:r>
      <w:proofErr w:type="gramEnd"/>
      <w:r w:rsidR="00F272F8">
        <w:t xml:space="preserve"> 19-24.</w:t>
      </w:r>
    </w:p>
    <w:p w:rsidR="00F272F8" w:rsidRDefault="00833B8E" w:rsidP="00F272F8">
      <w:pPr>
        <w:pStyle w:val="AADEReferencees"/>
      </w:pPr>
      <w:r>
        <w:tab/>
        <w:t xml:space="preserve">8. </w:t>
      </w:r>
      <w:r>
        <w:tab/>
      </w:r>
      <w:r w:rsidR="00F272F8">
        <w:t xml:space="preserve">Mohan, K. K.; </w:t>
      </w:r>
      <w:proofErr w:type="spellStart"/>
      <w:r w:rsidR="00F272F8">
        <w:t>Vaidya</w:t>
      </w:r>
      <w:proofErr w:type="spellEnd"/>
      <w:r w:rsidR="00F272F8">
        <w:t xml:space="preserve">, R. N.; Reed, M. G.; </w:t>
      </w:r>
      <w:proofErr w:type="spellStart"/>
      <w:r w:rsidR="00F272F8">
        <w:t>Fogler</w:t>
      </w:r>
      <w:proofErr w:type="spellEnd"/>
      <w:r w:rsidR="00F272F8">
        <w:t xml:space="preserve">, H. S. Water Sensitivity of Sandstones Containing Swelling and Non-Swelling Clays. </w:t>
      </w:r>
      <w:r w:rsidR="00F272F8" w:rsidRPr="00D619DA">
        <w:rPr>
          <w:i/>
        </w:rPr>
        <w:t xml:space="preserve">Coll. Surf. A: </w:t>
      </w:r>
      <w:proofErr w:type="spellStart"/>
      <w:r w:rsidR="00F272F8" w:rsidRPr="00D619DA">
        <w:rPr>
          <w:i/>
        </w:rPr>
        <w:t>Physico</w:t>
      </w:r>
      <w:proofErr w:type="spellEnd"/>
      <w:r w:rsidR="00F272F8" w:rsidRPr="00D619DA">
        <w:rPr>
          <w:i/>
        </w:rPr>
        <w:t xml:space="preserve"> &amp; Eng. Aspects</w:t>
      </w:r>
      <w:r w:rsidR="00F272F8">
        <w:t xml:space="preserve"> </w:t>
      </w:r>
      <w:r w:rsidR="00F272F8" w:rsidRPr="00D619DA">
        <w:rPr>
          <w:b/>
        </w:rPr>
        <w:t>1993</w:t>
      </w:r>
      <w:r w:rsidR="00F272F8">
        <w:t xml:space="preserve">, </w:t>
      </w:r>
      <w:r w:rsidR="00F272F8" w:rsidRPr="00D619DA">
        <w:rPr>
          <w:i/>
        </w:rPr>
        <w:t>73</w:t>
      </w:r>
      <w:r w:rsidR="00F272F8">
        <w:t>, 237-254.</w:t>
      </w:r>
    </w:p>
    <w:p w:rsidR="00F272F8" w:rsidRDefault="00833B8E" w:rsidP="00F272F8">
      <w:pPr>
        <w:pStyle w:val="AADEReferencees"/>
      </w:pPr>
      <w:r>
        <w:tab/>
        <w:t xml:space="preserve">9. </w:t>
      </w:r>
      <w:r>
        <w:tab/>
      </w:r>
      <w:r w:rsidR="00F272F8">
        <w:t xml:space="preserve">van </w:t>
      </w:r>
      <w:proofErr w:type="spellStart"/>
      <w:r w:rsidR="00F272F8">
        <w:t>Oort</w:t>
      </w:r>
      <w:proofErr w:type="spellEnd"/>
      <w:r w:rsidR="00F272F8">
        <w:t xml:space="preserve">, E. </w:t>
      </w:r>
      <w:proofErr w:type="gramStart"/>
      <w:r w:rsidR="00F272F8">
        <w:t xml:space="preserve">On the Physical and Chemical Stability of </w:t>
      </w:r>
      <w:proofErr w:type="spellStart"/>
      <w:r w:rsidR="00F272F8">
        <w:t>Shales</w:t>
      </w:r>
      <w:proofErr w:type="spellEnd"/>
      <w:r w:rsidR="00F272F8">
        <w:t>.</w:t>
      </w:r>
      <w:proofErr w:type="gramEnd"/>
      <w:r w:rsidR="00F272F8">
        <w:t xml:space="preserve">  </w:t>
      </w:r>
      <w:r w:rsidR="00F272F8" w:rsidRPr="000B2CF9">
        <w:rPr>
          <w:i/>
        </w:rPr>
        <w:t>J. Petr. Sci. Eng.</w:t>
      </w:r>
      <w:r w:rsidR="00F272F8">
        <w:t xml:space="preserve"> </w:t>
      </w:r>
      <w:r w:rsidR="00F272F8" w:rsidRPr="000B2CF9">
        <w:rPr>
          <w:b/>
        </w:rPr>
        <w:t>2003</w:t>
      </w:r>
      <w:r w:rsidR="00F272F8">
        <w:t xml:space="preserve">, </w:t>
      </w:r>
      <w:r w:rsidR="00F272F8" w:rsidRPr="000B2CF9">
        <w:rPr>
          <w:i/>
        </w:rPr>
        <w:t>38</w:t>
      </w:r>
      <w:r w:rsidR="00F272F8">
        <w:t>, 213-235.</w:t>
      </w:r>
    </w:p>
    <w:p w:rsidR="00F272F8" w:rsidRDefault="00833B8E" w:rsidP="00F272F8">
      <w:pPr>
        <w:pStyle w:val="AADEReferencees"/>
      </w:pPr>
      <w:r>
        <w:tab/>
        <w:t xml:space="preserve">10. </w:t>
      </w:r>
      <w:r>
        <w:tab/>
      </w:r>
      <w:proofErr w:type="spellStart"/>
      <w:r w:rsidR="00F272F8">
        <w:t>Sawdon</w:t>
      </w:r>
      <w:proofErr w:type="spellEnd"/>
      <w:r w:rsidR="00F272F8">
        <w:t xml:space="preserve">, C. A.; Brady, M. E.; Cliffe, S.; James, S. G.  </w:t>
      </w:r>
      <w:proofErr w:type="gramStart"/>
      <w:r w:rsidR="00F272F8">
        <w:t>An Integrated Approach to the Development of a Water-Based Mud with Oil-Based Mud Performance.</w:t>
      </w:r>
      <w:proofErr w:type="gramEnd"/>
      <w:r w:rsidR="00F272F8">
        <w:t xml:space="preserve">  Paper 29375; Presented at the SPE/</w:t>
      </w:r>
      <w:proofErr w:type="gramStart"/>
      <w:r w:rsidR="00F272F8">
        <w:t>IADC  Drilling</w:t>
      </w:r>
      <w:proofErr w:type="gramEnd"/>
      <w:r w:rsidR="00F272F8">
        <w:t xml:space="preserve"> Conference, Amsterdam, 28 February – 2 March 1995.</w:t>
      </w:r>
    </w:p>
    <w:p w:rsidR="00F272F8" w:rsidRDefault="00833B8E" w:rsidP="00F272F8">
      <w:pPr>
        <w:pStyle w:val="AADEReferencees"/>
      </w:pPr>
      <w:r>
        <w:tab/>
        <w:t xml:space="preserve">11. </w:t>
      </w:r>
      <w:r>
        <w:tab/>
      </w:r>
      <w:r w:rsidR="00F272F8">
        <w:t xml:space="preserve">Hoover, E.; </w:t>
      </w:r>
      <w:proofErr w:type="spellStart"/>
      <w:r w:rsidR="00F272F8">
        <w:t>Trenery</w:t>
      </w:r>
      <w:proofErr w:type="spellEnd"/>
      <w:r w:rsidR="00F272F8">
        <w:t xml:space="preserve">, J.; Mullen, G.; </w:t>
      </w:r>
      <w:proofErr w:type="spellStart"/>
      <w:r w:rsidR="00F272F8">
        <w:t>Benaissa</w:t>
      </w:r>
      <w:proofErr w:type="spellEnd"/>
      <w:r w:rsidR="00F272F8">
        <w:t>, S.; Richards, L. “New Water-Based Fluid for Increased Onshore Drilling Performance,” Paper AADE-08-DF-HO-38; Presented at the American Association of Drilling Engineers Conference, Houston, 8-9 April 2008.</w:t>
      </w:r>
    </w:p>
    <w:p w:rsidR="00F272F8" w:rsidRDefault="00833B8E" w:rsidP="00F272F8">
      <w:pPr>
        <w:pStyle w:val="AADEReferencees"/>
      </w:pPr>
      <w:r>
        <w:tab/>
        <w:t xml:space="preserve">12. </w:t>
      </w:r>
      <w:r>
        <w:tab/>
      </w:r>
      <w:proofErr w:type="spellStart"/>
      <w:r w:rsidR="00F272F8">
        <w:t>Boek</w:t>
      </w:r>
      <w:proofErr w:type="spellEnd"/>
      <w:r w:rsidR="00F272F8">
        <w:t xml:space="preserve">, E. S.; </w:t>
      </w:r>
      <w:proofErr w:type="spellStart"/>
      <w:r w:rsidR="00F272F8">
        <w:t>Coveney</w:t>
      </w:r>
      <w:proofErr w:type="spellEnd"/>
      <w:r w:rsidR="00F272F8">
        <w:t>, P. V.; Skipper, N. T. Monte Carlo Molecular Modeling Studies of Hydrated Li-, Na-, and K-</w:t>
      </w:r>
      <w:proofErr w:type="spellStart"/>
      <w:r w:rsidR="00F272F8">
        <w:t>Smectites</w:t>
      </w:r>
      <w:proofErr w:type="spellEnd"/>
      <w:r w:rsidR="00F272F8">
        <w:t xml:space="preserve">: Understanding the Role of Potassium as a Clay Swelling Inhibitor.  </w:t>
      </w:r>
      <w:r w:rsidR="00F272F8" w:rsidRPr="00F53345">
        <w:rPr>
          <w:i/>
        </w:rPr>
        <w:t xml:space="preserve">J. Am Chem. Soc. </w:t>
      </w:r>
      <w:r w:rsidR="00F272F8" w:rsidRPr="00F53345">
        <w:rPr>
          <w:b/>
        </w:rPr>
        <w:t>1995</w:t>
      </w:r>
      <w:r w:rsidR="00F272F8">
        <w:t xml:space="preserve">, </w:t>
      </w:r>
      <w:r w:rsidR="00F272F8" w:rsidRPr="00F53345">
        <w:rPr>
          <w:i/>
        </w:rPr>
        <w:t>117</w:t>
      </w:r>
      <w:r w:rsidR="00F272F8">
        <w:t>, 12608-12617.</w:t>
      </w:r>
    </w:p>
    <w:p w:rsidR="00F272F8" w:rsidRDefault="00833B8E" w:rsidP="00F272F8">
      <w:pPr>
        <w:pStyle w:val="AADEReferencees"/>
      </w:pPr>
      <w:r>
        <w:tab/>
        <w:t xml:space="preserve">13. </w:t>
      </w:r>
      <w:r>
        <w:tab/>
      </w:r>
      <w:r w:rsidR="00F272F8">
        <w:t>Reid, P. I.; Elliot, G. P.; Minton, R. C.; Chambers, B. D.; Burt, D. A.  Reduced Environmental Impact and Improved Drilling Performance with Water-Based Muds Containing Glycols.  Paper 25989; Presented at the SPE/EPA Exploration &amp; Production Environmental Conference, San Antonio, 7-10 March 1993.</w:t>
      </w:r>
    </w:p>
    <w:p w:rsidR="00F272F8" w:rsidRDefault="00833B8E" w:rsidP="00F272F8">
      <w:pPr>
        <w:pStyle w:val="AADEReferencees"/>
      </w:pPr>
      <w:r>
        <w:tab/>
        <w:t xml:space="preserve">14. </w:t>
      </w:r>
      <w:r>
        <w:tab/>
      </w:r>
      <w:r w:rsidR="00F272F8">
        <w:t>Aston</w:t>
      </w:r>
      <w:bookmarkStart w:id="18" w:name="OLE_LINK60"/>
      <w:r w:rsidR="00F272F8">
        <w:t>, M. S.; Elliot, G. P.  Water-Based Glycol Drilling Muds: Shale Inhibition Mechanisms.  Paper 28818; Presented at the SPE European Petroleum Conference, London, 25-27 October 1994.</w:t>
      </w:r>
      <w:bookmarkEnd w:id="18"/>
    </w:p>
    <w:p w:rsidR="00F272F8" w:rsidRDefault="00833B8E" w:rsidP="00F272F8">
      <w:pPr>
        <w:pStyle w:val="AADEReferencees"/>
      </w:pPr>
      <w:r>
        <w:tab/>
        <w:t xml:space="preserve">15. </w:t>
      </w:r>
      <w:r>
        <w:tab/>
      </w:r>
      <w:r w:rsidR="00F272F8">
        <w:t xml:space="preserve">Reid, P. I.; Dolan, B.; Cliffe, S.  Mechanism of Shale Inhibition by </w:t>
      </w:r>
      <w:proofErr w:type="spellStart"/>
      <w:r w:rsidR="00F272F8">
        <w:t>Polyols</w:t>
      </w:r>
      <w:proofErr w:type="spellEnd"/>
      <w:r w:rsidR="00F272F8">
        <w:t xml:space="preserve"> in Water Based Drilling Fluids.  Paper 28960; Presented at the SPE International Symposium on Oilfield Chemistry, San Antonio, 14-17 February 1995.</w:t>
      </w:r>
    </w:p>
    <w:p w:rsidR="00F272F8" w:rsidRDefault="00833B8E" w:rsidP="00F272F8">
      <w:pPr>
        <w:pStyle w:val="AADEReferencees"/>
      </w:pPr>
      <w:r>
        <w:tab/>
        <w:t xml:space="preserve">16. </w:t>
      </w:r>
      <w:r>
        <w:tab/>
      </w:r>
      <w:r w:rsidR="00F272F8">
        <w:t>Patel, A. D.  Design and Development of Quaternary Amine Compounds: Shale Inhibition with Improved Environmental Profile.  Paper 121737; Presented at the SPE International Symposium on Oilfield Chemistry, The Woodlands, 20-22 April 2009.</w:t>
      </w:r>
    </w:p>
    <w:p w:rsidR="00F272F8" w:rsidRDefault="00833B8E" w:rsidP="00F272F8">
      <w:pPr>
        <w:pStyle w:val="AADEReferencees"/>
      </w:pPr>
      <w:bookmarkStart w:id="19" w:name="OLE_LINK8"/>
      <w:r>
        <w:tab/>
        <w:t xml:space="preserve">17. </w:t>
      </w:r>
      <w:r>
        <w:tab/>
      </w:r>
      <w:r w:rsidR="00F272F8">
        <w:t xml:space="preserve">Young, S.; </w:t>
      </w:r>
      <w:proofErr w:type="spellStart"/>
      <w:r w:rsidR="00F272F8">
        <w:t>Stamatakis</w:t>
      </w:r>
      <w:proofErr w:type="spellEnd"/>
      <w:r w:rsidR="00F272F8">
        <w:t xml:space="preserve">, E.  Novel Inhibitor Chemistry Stabilizes </w:t>
      </w:r>
      <w:proofErr w:type="spellStart"/>
      <w:r w:rsidR="00F272F8">
        <w:t>Shales</w:t>
      </w:r>
      <w:proofErr w:type="spellEnd"/>
      <w:r w:rsidR="00F272F8">
        <w:t>.  Paper #6; Presented at the American Association of Drilling Engineers Technical Conference, Houston, 11-12 April 2006.</w:t>
      </w:r>
      <w:bookmarkEnd w:id="19"/>
    </w:p>
    <w:p w:rsidR="00F272F8" w:rsidRDefault="00833B8E" w:rsidP="00F272F8">
      <w:pPr>
        <w:pStyle w:val="AADEReferencees"/>
      </w:pPr>
      <w:r>
        <w:tab/>
        <w:t xml:space="preserve">18. </w:t>
      </w:r>
      <w:r>
        <w:tab/>
      </w:r>
      <w:r w:rsidR="00F272F8">
        <w:t xml:space="preserve">Zhang, L.-M.; Sun, B.-W.  </w:t>
      </w:r>
      <w:proofErr w:type="gramStart"/>
      <w:r w:rsidR="00F272F8">
        <w:t>Inhibition of Water-Soluble Cationic Cellulosic Polymers to Clay Hydration.</w:t>
      </w:r>
      <w:proofErr w:type="gramEnd"/>
      <w:r w:rsidR="00F272F8">
        <w:t xml:space="preserve">  </w:t>
      </w:r>
      <w:r w:rsidR="00F272F8" w:rsidRPr="00B36763">
        <w:rPr>
          <w:i/>
        </w:rPr>
        <w:t>J. Appl. Polymer Sci.</w:t>
      </w:r>
      <w:r w:rsidR="00F272F8">
        <w:t xml:space="preserve"> </w:t>
      </w:r>
      <w:r w:rsidR="00F272F8" w:rsidRPr="00B36763">
        <w:rPr>
          <w:b/>
        </w:rPr>
        <w:lastRenderedPageBreak/>
        <w:t>2002</w:t>
      </w:r>
      <w:r w:rsidR="00F272F8">
        <w:t xml:space="preserve">, </w:t>
      </w:r>
      <w:r w:rsidR="00F272F8" w:rsidRPr="00B36763">
        <w:rPr>
          <w:i/>
        </w:rPr>
        <w:t>74</w:t>
      </w:r>
      <w:r w:rsidR="00F272F8">
        <w:t>, 3008-3093.</w:t>
      </w:r>
    </w:p>
    <w:p w:rsidR="00F272F8" w:rsidRDefault="00833B8E" w:rsidP="00F272F8">
      <w:pPr>
        <w:pStyle w:val="AADEReferencees"/>
      </w:pPr>
      <w:r>
        <w:tab/>
        <w:t xml:space="preserve">19. </w:t>
      </w:r>
      <w:r>
        <w:tab/>
      </w:r>
      <w:proofErr w:type="spellStart"/>
      <w:r w:rsidR="00F272F8">
        <w:t>Bruton</w:t>
      </w:r>
      <w:proofErr w:type="spellEnd"/>
      <w:r w:rsidR="00F272F8">
        <w:t xml:space="preserve">, J. R.; </w:t>
      </w:r>
      <w:proofErr w:type="spellStart"/>
      <w:r w:rsidR="00F272F8">
        <w:t>McLaurine</w:t>
      </w:r>
      <w:proofErr w:type="spellEnd"/>
      <w:r w:rsidR="00F272F8">
        <w:t xml:space="preserve">, H. C.  Modified Poly-Amino Acid Hydration Suppressant Proves Successful in Controlling Reactive </w:t>
      </w:r>
      <w:proofErr w:type="spellStart"/>
      <w:r w:rsidR="00F272F8">
        <w:t>Shales</w:t>
      </w:r>
      <w:proofErr w:type="spellEnd"/>
      <w:r w:rsidR="00F272F8">
        <w:t>.  Paper 26327; Presented at the 68</w:t>
      </w:r>
      <w:r w:rsidR="00F272F8" w:rsidRPr="00B36763">
        <w:rPr>
          <w:vertAlign w:val="superscript"/>
        </w:rPr>
        <w:t>th</w:t>
      </w:r>
      <w:r w:rsidR="00F272F8">
        <w:t xml:space="preserve"> Annual SPE Technical Conference and Exhibition</w:t>
      </w:r>
      <w:proofErr w:type="gramStart"/>
      <w:r w:rsidR="00F272F8">
        <w:t>,  Houston</w:t>
      </w:r>
      <w:proofErr w:type="gramEnd"/>
      <w:r w:rsidR="00F272F8">
        <w:t>, 3-6 October 1993.</w:t>
      </w:r>
    </w:p>
    <w:p w:rsidR="00F272F8" w:rsidRDefault="00833B8E" w:rsidP="00F272F8">
      <w:pPr>
        <w:pStyle w:val="AADEReferencees"/>
      </w:pPr>
      <w:r>
        <w:tab/>
        <w:t xml:space="preserve">20. </w:t>
      </w:r>
      <w:r>
        <w:tab/>
      </w:r>
      <w:r w:rsidR="00F272F8">
        <w:t xml:space="preserve">Hodder, M.; Cliffe, S.; Greenwell, C.; Williams, P. </w:t>
      </w:r>
      <w:proofErr w:type="spellStart"/>
      <w:r w:rsidR="00F272F8">
        <w:t>Coveney</w:t>
      </w:r>
      <w:proofErr w:type="spellEnd"/>
      <w:r w:rsidR="00F272F8">
        <w:t xml:space="preserve">, P.  </w:t>
      </w:r>
      <w:proofErr w:type="gramStart"/>
      <w:r w:rsidR="00F272F8">
        <w:t>Clay Swelling Inhibitors – Computer Design and Validation.</w:t>
      </w:r>
      <w:proofErr w:type="gramEnd"/>
      <w:r w:rsidR="00F272F8">
        <w:t xml:space="preserve">  Paper #32; Presented at the American Association of Drilling Engineers Technical Conference, Houston, 6-7 April 2010.</w:t>
      </w:r>
    </w:p>
    <w:p w:rsidR="00F272F8" w:rsidRDefault="00833B8E" w:rsidP="00F272F8">
      <w:pPr>
        <w:pStyle w:val="AADEReferencees"/>
      </w:pPr>
      <w:r>
        <w:tab/>
        <w:t xml:space="preserve">21. </w:t>
      </w:r>
      <w:r>
        <w:tab/>
      </w:r>
      <w:r w:rsidR="00F272F8">
        <w:t xml:space="preserve">Patel, A. D.; </w:t>
      </w:r>
      <w:proofErr w:type="spellStart"/>
      <w:r w:rsidR="00F272F8">
        <w:t>Stamatakis</w:t>
      </w:r>
      <w:proofErr w:type="spellEnd"/>
      <w:r w:rsidR="00F272F8">
        <w:t>, E.; Davis, E.  Shale Hydration Inhibition Agent and Method of Use.  U.S. Patent 6,609,578; issued August 26, 2003.</w:t>
      </w:r>
    </w:p>
    <w:p w:rsidR="00F272F8" w:rsidRPr="00E13E3D" w:rsidRDefault="00833B8E" w:rsidP="00F272F8">
      <w:pPr>
        <w:pStyle w:val="AADEReferencees"/>
      </w:pPr>
      <w:r>
        <w:rPr>
          <w:rFonts w:cs="Helvetica"/>
          <w:bCs/>
          <w:color w:val="000000"/>
        </w:rPr>
        <w:tab/>
        <w:t xml:space="preserve">22. </w:t>
      </w:r>
      <w:r>
        <w:rPr>
          <w:rFonts w:cs="Helvetica"/>
          <w:bCs/>
          <w:color w:val="000000"/>
        </w:rPr>
        <w:tab/>
      </w:r>
      <w:r w:rsidR="00F272F8" w:rsidRPr="00997034">
        <w:rPr>
          <w:rFonts w:cs="Helvetica"/>
          <w:bCs/>
          <w:color w:val="000000"/>
        </w:rPr>
        <w:t>Young S</w:t>
      </w:r>
      <w:r w:rsidR="00F272F8" w:rsidRPr="00E13E3D">
        <w:rPr>
          <w:rFonts w:cs="Arial"/>
          <w:color w:val="000000"/>
        </w:rPr>
        <w:t xml:space="preserve">, </w:t>
      </w:r>
      <w:r w:rsidR="00F272F8" w:rsidRPr="00E13E3D">
        <w:rPr>
          <w:rFonts w:cs="Helvetica"/>
          <w:i/>
          <w:iCs/>
          <w:color w:val="000000"/>
        </w:rPr>
        <w:t xml:space="preserve">M-I </w:t>
      </w:r>
      <w:proofErr w:type="spellStart"/>
      <w:r w:rsidR="00F272F8" w:rsidRPr="00E13E3D">
        <w:rPr>
          <w:rFonts w:cs="Helvetica"/>
          <w:i/>
          <w:iCs/>
          <w:color w:val="000000"/>
        </w:rPr>
        <w:t>Swaco</w:t>
      </w:r>
      <w:proofErr w:type="spellEnd"/>
      <w:r w:rsidR="00F272F8" w:rsidRPr="00E13E3D">
        <w:rPr>
          <w:rFonts w:cs="Arial"/>
          <w:color w:val="000000"/>
        </w:rPr>
        <w:t xml:space="preserve">, </w:t>
      </w:r>
      <w:proofErr w:type="spellStart"/>
      <w:r w:rsidR="00F272F8" w:rsidRPr="00997034">
        <w:rPr>
          <w:rFonts w:cs="Helvetica"/>
          <w:bCs/>
          <w:color w:val="000000"/>
        </w:rPr>
        <w:t>Friedheim</w:t>
      </w:r>
      <w:proofErr w:type="spellEnd"/>
      <w:r w:rsidR="00F272F8" w:rsidRPr="00997034">
        <w:rPr>
          <w:rFonts w:cs="Helvetica"/>
          <w:bCs/>
          <w:color w:val="000000"/>
        </w:rPr>
        <w:t>, J</w:t>
      </w:r>
      <w:r w:rsidR="00F272F8" w:rsidRPr="00E13E3D">
        <w:rPr>
          <w:rFonts w:cs="Helvetica"/>
          <w:i/>
          <w:iCs/>
          <w:color w:val="000000"/>
        </w:rPr>
        <w:t>.</w:t>
      </w:r>
      <w:r w:rsidR="00F272F8" w:rsidRPr="00997034">
        <w:rPr>
          <w:rFonts w:cs="Helvetica"/>
          <w:bCs/>
          <w:color w:val="000000"/>
        </w:rPr>
        <w:t xml:space="preserve"> Testing protocols for optimized drilling fluid design. </w:t>
      </w:r>
      <w:r w:rsidR="00F272F8" w:rsidRPr="00E13E3D">
        <w:rPr>
          <w:rFonts w:cs="Arial"/>
          <w:color w:val="000000"/>
        </w:rPr>
        <w:t>This paper was presented at the Offshore Mediterranean Conference and Exhibition in Ravenna, Italy, March 25-27, 2009</w:t>
      </w:r>
    </w:p>
    <w:p w:rsidR="00F272F8" w:rsidRDefault="00833B8E" w:rsidP="00F272F8">
      <w:pPr>
        <w:pStyle w:val="AADEReferencees"/>
      </w:pPr>
      <w:r>
        <w:tab/>
        <w:t xml:space="preserve">23. </w:t>
      </w:r>
      <w:r>
        <w:tab/>
      </w:r>
      <w:r w:rsidR="00F272F8">
        <w:t xml:space="preserve">OECD 301F Guideline for testing of chemicals, Ready biodegradability. </w:t>
      </w:r>
      <w:proofErr w:type="spellStart"/>
      <w:proofErr w:type="gramStart"/>
      <w:r w:rsidR="00F272F8">
        <w:t>Manometric</w:t>
      </w:r>
      <w:proofErr w:type="spellEnd"/>
      <w:r w:rsidR="00F272F8">
        <w:t xml:space="preserve"> </w:t>
      </w:r>
      <w:proofErr w:type="spellStart"/>
      <w:r w:rsidR="00F272F8">
        <w:t>respirometry</w:t>
      </w:r>
      <w:proofErr w:type="spellEnd"/>
      <w:r w:rsidR="00F272F8">
        <w:t>, July 17, 1992.</w:t>
      </w:r>
      <w:proofErr w:type="gramEnd"/>
    </w:p>
    <w:p w:rsidR="00F272F8" w:rsidRDefault="00833B8E" w:rsidP="00F272F8">
      <w:pPr>
        <w:pStyle w:val="AADEReferencees"/>
      </w:pPr>
      <w:r>
        <w:tab/>
        <w:t xml:space="preserve">24. </w:t>
      </w:r>
      <w:r>
        <w:tab/>
      </w:r>
      <w:r w:rsidR="00F272F8" w:rsidRPr="00FA40CC">
        <w:t>Drilling Fluid Toxicity Test</w:t>
      </w:r>
      <w:r w:rsidR="00F272F8">
        <w:t>,</w:t>
      </w:r>
      <w:r w:rsidR="00F272F8" w:rsidRPr="00FA40CC">
        <w:t xml:space="preserve"> Federal Register, Vol</w:t>
      </w:r>
      <w:r w:rsidR="00F272F8">
        <w:t>.</w:t>
      </w:r>
      <w:r w:rsidR="00F272F8" w:rsidRPr="00FA40CC">
        <w:t xml:space="preserve">  50, No</w:t>
      </w:r>
      <w:r w:rsidR="00F272F8">
        <w:t>.</w:t>
      </w:r>
      <w:r w:rsidR="00F272F8" w:rsidRPr="00FA40CC">
        <w:t xml:space="preserve"> 165, Aug 26, 1985, pp 34631-34636</w:t>
      </w:r>
      <w:r w:rsidR="00F272F8">
        <w:t>.</w:t>
      </w:r>
    </w:p>
    <w:p w:rsidR="008A7736" w:rsidRDefault="008A7736" w:rsidP="00F272F8">
      <w:pPr>
        <w:pStyle w:val="References"/>
        <w:rPr>
          <w:rFonts w:ascii="Times New Roman" w:hAnsi="Times New Roman" w:cs="Times New Roman"/>
        </w:rPr>
      </w:pPr>
    </w:p>
    <w:p w:rsidR="006C3D4F" w:rsidRPr="006C3D4F" w:rsidRDefault="006C3D4F" w:rsidP="006C3D4F">
      <w:pPr>
        <w:pStyle w:val="para1"/>
      </w:pPr>
    </w:p>
    <w:sectPr w:rsidR="006C3D4F" w:rsidRPr="006C3D4F" w:rsidSect="00F01F00">
      <w:type w:val="continuous"/>
      <w:pgSz w:w="12240" w:h="15840" w:code="1"/>
      <w:pgMar w:top="720" w:right="720" w:bottom="1440" w:left="720" w:header="720" w:footer="720" w:gutter="0"/>
      <w:paperSrc w:first="7" w:other="7"/>
      <w:cols w:num="2"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D0" w:rsidRDefault="003C65D0">
      <w:r>
        <w:separator/>
      </w:r>
    </w:p>
  </w:endnote>
  <w:endnote w:type="continuationSeparator" w:id="0">
    <w:p w:rsidR="003C65D0" w:rsidRDefault="003C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D0" w:rsidRDefault="003C65D0">
      <w:r>
        <w:separator/>
      </w:r>
    </w:p>
  </w:footnote>
  <w:footnote w:type="continuationSeparator" w:id="0">
    <w:p w:rsidR="003C65D0" w:rsidRDefault="003C65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45" w:rsidRDefault="00621C45">
    <w:pPr>
      <w:pStyle w:val="Header"/>
      <w:pBdr>
        <w:bottom w:val="single" w:sz="6" w:space="6" w:color="auto"/>
      </w:pBdr>
      <w:spacing w:after="240"/>
    </w:pPr>
    <w:r>
      <w:rPr>
        <w:rStyle w:val="PageNumber"/>
      </w:rPr>
      <w:fldChar w:fldCharType="begin"/>
    </w:r>
    <w:r w:rsidR="00253E45">
      <w:rPr>
        <w:rStyle w:val="PageNumber"/>
      </w:rPr>
      <w:instrText xml:space="preserve"> PAGE </w:instrText>
    </w:r>
    <w:r>
      <w:rPr>
        <w:rStyle w:val="PageNumber"/>
      </w:rPr>
      <w:fldChar w:fldCharType="separate"/>
    </w:r>
    <w:r w:rsidR="00FC589B">
      <w:rPr>
        <w:rStyle w:val="PageNumber"/>
        <w:noProof/>
      </w:rPr>
      <w:t>4</w:t>
    </w:r>
    <w:r>
      <w:rPr>
        <w:rStyle w:val="PageNumber"/>
      </w:rPr>
      <w:fldChar w:fldCharType="end"/>
    </w:r>
    <w:r w:rsidR="00253E45">
      <w:rPr>
        <w:rStyle w:val="PageNumber"/>
      </w:rPr>
      <w:tab/>
      <w:t>A. Bradbury, J. Mclellan, P. Craddock, J. Arthur, M. Poindexter, C. Witham, C. Boyer</w:t>
    </w:r>
    <w:r w:rsidR="00253E45">
      <w:rPr>
        <w:rStyle w:val="PageNumber"/>
      </w:rPr>
      <w:tab/>
    </w:r>
    <w:r w:rsidR="00253E45" w:rsidRPr="0036322E">
      <w:rPr>
        <w:rStyle w:val="PageNumber"/>
      </w:rPr>
      <w:t>AADE-13-FTCE-</w:t>
    </w:r>
    <w:r w:rsidR="00253E45">
      <w:rPr>
        <w:rStyle w:val="PageNumber"/>
      </w:rPr>
      <w:t>22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45" w:rsidRDefault="00253E45">
    <w:pPr>
      <w:pStyle w:val="Header"/>
      <w:pBdr>
        <w:bottom w:val="single" w:sz="6" w:space="6" w:color="auto"/>
      </w:pBdr>
      <w:spacing w:after="240"/>
    </w:pPr>
    <w:r>
      <w:t>AADE-13-FTCE-22</w:t>
    </w:r>
    <w:r>
      <w:tab/>
      <w:t>Development of New, Environmentally Friendly, Salt-Free Shale Inhibitors for Water Based Drilling Fluids</w:t>
    </w:r>
    <w:r>
      <w:tab/>
    </w:r>
    <w:r w:rsidR="00621C45">
      <w:rPr>
        <w:rStyle w:val="PageNumber"/>
      </w:rPr>
      <w:fldChar w:fldCharType="begin"/>
    </w:r>
    <w:r>
      <w:rPr>
        <w:rStyle w:val="PageNumber"/>
      </w:rPr>
      <w:instrText xml:space="preserve"> PAGE </w:instrText>
    </w:r>
    <w:r w:rsidR="00621C45">
      <w:rPr>
        <w:rStyle w:val="PageNumber"/>
      </w:rPr>
      <w:fldChar w:fldCharType="separate"/>
    </w:r>
    <w:r w:rsidR="00FC589B">
      <w:rPr>
        <w:rStyle w:val="PageNumber"/>
        <w:noProof/>
      </w:rPr>
      <w:t>5</w:t>
    </w:r>
    <w:r w:rsidR="00621C45">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D98"/>
    <w:multiLevelType w:val="hybridMultilevel"/>
    <w:tmpl w:val="F2CC0708"/>
    <w:lvl w:ilvl="0" w:tplc="182CCC8A">
      <w:start w:val="1"/>
      <w:numFmt w:val="bullet"/>
      <w:lvlText w:val=""/>
      <w:lvlJc w:val="left"/>
      <w:pPr>
        <w:tabs>
          <w:tab w:val="num" w:pos="720"/>
        </w:tabs>
        <w:ind w:left="720" w:hanging="360"/>
      </w:pPr>
      <w:rPr>
        <w:rFonts w:ascii="Wingdings" w:hAnsi="Wingdings" w:hint="default"/>
      </w:rPr>
    </w:lvl>
    <w:lvl w:ilvl="1" w:tplc="581EF890">
      <w:start w:val="1"/>
      <w:numFmt w:val="bullet"/>
      <w:lvlText w:val=""/>
      <w:lvlJc w:val="left"/>
      <w:pPr>
        <w:tabs>
          <w:tab w:val="num" w:pos="1440"/>
        </w:tabs>
        <w:ind w:left="1440" w:hanging="360"/>
      </w:pPr>
      <w:rPr>
        <w:rFonts w:ascii="Wingdings" w:hAnsi="Wingdings" w:hint="default"/>
      </w:rPr>
    </w:lvl>
    <w:lvl w:ilvl="2" w:tplc="643007A0" w:tentative="1">
      <w:start w:val="1"/>
      <w:numFmt w:val="bullet"/>
      <w:lvlText w:val=""/>
      <w:lvlJc w:val="left"/>
      <w:pPr>
        <w:tabs>
          <w:tab w:val="num" w:pos="2160"/>
        </w:tabs>
        <w:ind w:left="2160" w:hanging="360"/>
      </w:pPr>
      <w:rPr>
        <w:rFonts w:ascii="Wingdings" w:hAnsi="Wingdings" w:hint="default"/>
      </w:rPr>
    </w:lvl>
    <w:lvl w:ilvl="3" w:tplc="EC925C08" w:tentative="1">
      <w:start w:val="1"/>
      <w:numFmt w:val="bullet"/>
      <w:lvlText w:val=""/>
      <w:lvlJc w:val="left"/>
      <w:pPr>
        <w:tabs>
          <w:tab w:val="num" w:pos="2880"/>
        </w:tabs>
        <w:ind w:left="2880" w:hanging="360"/>
      </w:pPr>
      <w:rPr>
        <w:rFonts w:ascii="Wingdings" w:hAnsi="Wingdings" w:hint="default"/>
      </w:rPr>
    </w:lvl>
    <w:lvl w:ilvl="4" w:tplc="FD0C50EA" w:tentative="1">
      <w:start w:val="1"/>
      <w:numFmt w:val="bullet"/>
      <w:lvlText w:val=""/>
      <w:lvlJc w:val="left"/>
      <w:pPr>
        <w:tabs>
          <w:tab w:val="num" w:pos="3600"/>
        </w:tabs>
        <w:ind w:left="3600" w:hanging="360"/>
      </w:pPr>
      <w:rPr>
        <w:rFonts w:ascii="Wingdings" w:hAnsi="Wingdings" w:hint="default"/>
      </w:rPr>
    </w:lvl>
    <w:lvl w:ilvl="5" w:tplc="857C8914" w:tentative="1">
      <w:start w:val="1"/>
      <w:numFmt w:val="bullet"/>
      <w:lvlText w:val=""/>
      <w:lvlJc w:val="left"/>
      <w:pPr>
        <w:tabs>
          <w:tab w:val="num" w:pos="4320"/>
        </w:tabs>
        <w:ind w:left="4320" w:hanging="360"/>
      </w:pPr>
      <w:rPr>
        <w:rFonts w:ascii="Wingdings" w:hAnsi="Wingdings" w:hint="default"/>
      </w:rPr>
    </w:lvl>
    <w:lvl w:ilvl="6" w:tplc="52E81FEE" w:tentative="1">
      <w:start w:val="1"/>
      <w:numFmt w:val="bullet"/>
      <w:lvlText w:val=""/>
      <w:lvlJc w:val="left"/>
      <w:pPr>
        <w:tabs>
          <w:tab w:val="num" w:pos="5040"/>
        </w:tabs>
        <w:ind w:left="5040" w:hanging="360"/>
      </w:pPr>
      <w:rPr>
        <w:rFonts w:ascii="Wingdings" w:hAnsi="Wingdings" w:hint="default"/>
      </w:rPr>
    </w:lvl>
    <w:lvl w:ilvl="7" w:tplc="77D49FEA" w:tentative="1">
      <w:start w:val="1"/>
      <w:numFmt w:val="bullet"/>
      <w:lvlText w:val=""/>
      <w:lvlJc w:val="left"/>
      <w:pPr>
        <w:tabs>
          <w:tab w:val="num" w:pos="5760"/>
        </w:tabs>
        <w:ind w:left="5760" w:hanging="360"/>
      </w:pPr>
      <w:rPr>
        <w:rFonts w:ascii="Wingdings" w:hAnsi="Wingdings" w:hint="default"/>
      </w:rPr>
    </w:lvl>
    <w:lvl w:ilvl="8" w:tplc="3BC6861E" w:tentative="1">
      <w:start w:val="1"/>
      <w:numFmt w:val="bullet"/>
      <w:lvlText w:val=""/>
      <w:lvlJc w:val="left"/>
      <w:pPr>
        <w:tabs>
          <w:tab w:val="num" w:pos="6480"/>
        </w:tabs>
        <w:ind w:left="6480" w:hanging="360"/>
      </w:pPr>
      <w:rPr>
        <w:rFonts w:ascii="Wingdings" w:hAnsi="Wingdings" w:hint="default"/>
      </w:rPr>
    </w:lvl>
  </w:abstractNum>
  <w:abstractNum w:abstractNumId="1">
    <w:nsid w:val="019444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7736FB"/>
    <w:multiLevelType w:val="hybridMultilevel"/>
    <w:tmpl w:val="3A3A13DC"/>
    <w:lvl w:ilvl="0" w:tplc="324E5FA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0759E"/>
    <w:multiLevelType w:val="singleLevel"/>
    <w:tmpl w:val="3A02C410"/>
    <w:lvl w:ilvl="0">
      <w:start w:val="1"/>
      <w:numFmt w:val="bullet"/>
      <w:lvlText w:val=""/>
      <w:lvlJc w:val="left"/>
      <w:pPr>
        <w:tabs>
          <w:tab w:val="num" w:pos="360"/>
        </w:tabs>
        <w:ind w:left="360" w:hanging="360"/>
      </w:pPr>
      <w:rPr>
        <w:rFonts w:ascii="Symbol" w:hAnsi="Symbol" w:hint="default"/>
      </w:rPr>
    </w:lvl>
  </w:abstractNum>
  <w:abstractNum w:abstractNumId="4">
    <w:nsid w:val="146238F0"/>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14D447FE"/>
    <w:multiLevelType w:val="hybridMultilevel"/>
    <w:tmpl w:val="31306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9C7F1D"/>
    <w:multiLevelType w:val="hybridMultilevel"/>
    <w:tmpl w:val="35A697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96582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A36679A"/>
    <w:multiLevelType w:val="singleLevel"/>
    <w:tmpl w:val="C45EE9F6"/>
    <w:lvl w:ilvl="0">
      <w:start w:val="1"/>
      <w:numFmt w:val="bullet"/>
      <w:lvlText w:val=""/>
      <w:lvlJc w:val="left"/>
      <w:pPr>
        <w:tabs>
          <w:tab w:val="num" w:pos="360"/>
        </w:tabs>
        <w:ind w:left="360" w:hanging="360"/>
      </w:pPr>
      <w:rPr>
        <w:rFonts w:ascii="Wingdings" w:hAnsi="Wingdings" w:hint="default"/>
      </w:rPr>
    </w:lvl>
  </w:abstractNum>
  <w:abstractNum w:abstractNumId="9">
    <w:nsid w:val="3A9118B6"/>
    <w:multiLevelType w:val="hybridMultilevel"/>
    <w:tmpl w:val="6D3294C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5FD36D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521409AD"/>
    <w:multiLevelType w:val="hybridMultilevel"/>
    <w:tmpl w:val="9FE0C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F84695"/>
    <w:multiLevelType w:val="singleLevel"/>
    <w:tmpl w:val="C45EE9F6"/>
    <w:lvl w:ilvl="0">
      <w:start w:val="1"/>
      <w:numFmt w:val="bullet"/>
      <w:lvlText w:val=""/>
      <w:lvlJc w:val="left"/>
      <w:pPr>
        <w:tabs>
          <w:tab w:val="num" w:pos="360"/>
        </w:tabs>
        <w:ind w:left="360" w:hanging="360"/>
      </w:pPr>
      <w:rPr>
        <w:rFonts w:ascii="Wingdings" w:hAnsi="Wingdings" w:hint="default"/>
      </w:rPr>
    </w:lvl>
  </w:abstractNum>
  <w:abstractNum w:abstractNumId="13">
    <w:nsid w:val="5E676E34"/>
    <w:multiLevelType w:val="hybridMultilevel"/>
    <w:tmpl w:val="29B091E0"/>
    <w:lvl w:ilvl="0" w:tplc="04090009">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62A06364"/>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65B402C8"/>
    <w:multiLevelType w:val="hybridMultilevel"/>
    <w:tmpl w:val="A7B20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6D2B600D"/>
    <w:multiLevelType w:val="hybridMultilevel"/>
    <w:tmpl w:val="1C680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4"/>
  </w:num>
  <w:num w:numId="4">
    <w:abstractNumId w:val="10"/>
  </w:num>
  <w:num w:numId="5">
    <w:abstractNumId w:val="7"/>
  </w:num>
  <w:num w:numId="6">
    <w:abstractNumId w:val="3"/>
  </w:num>
  <w:num w:numId="7">
    <w:abstractNumId w:val="8"/>
  </w:num>
  <w:num w:numId="8">
    <w:abstractNumId w:val="12"/>
  </w:num>
  <w:num w:numId="9">
    <w:abstractNumId w:val="13"/>
  </w:num>
  <w:num w:numId="10">
    <w:abstractNumId w:val="11"/>
  </w:num>
  <w:num w:numId="11">
    <w:abstractNumId w:val="5"/>
  </w:num>
  <w:num w:numId="12">
    <w:abstractNumId w:val="9"/>
  </w:num>
  <w:num w:numId="13">
    <w:abstractNumId w:val="2"/>
  </w:num>
  <w:num w:numId="14">
    <w:abstractNumId w:val="16"/>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F"/>
    <w:rsid w:val="00023A55"/>
    <w:rsid w:val="000772C5"/>
    <w:rsid w:val="00086099"/>
    <w:rsid w:val="000C467A"/>
    <w:rsid w:val="000D4DE9"/>
    <w:rsid w:val="00117398"/>
    <w:rsid w:val="00120285"/>
    <w:rsid w:val="0021287B"/>
    <w:rsid w:val="00223269"/>
    <w:rsid w:val="00253E45"/>
    <w:rsid w:val="00274158"/>
    <w:rsid w:val="00277483"/>
    <w:rsid w:val="002844AB"/>
    <w:rsid w:val="002E6DF1"/>
    <w:rsid w:val="003150A3"/>
    <w:rsid w:val="0036322E"/>
    <w:rsid w:val="0037680A"/>
    <w:rsid w:val="003852AC"/>
    <w:rsid w:val="003A0E1B"/>
    <w:rsid w:val="003C65D0"/>
    <w:rsid w:val="003E2488"/>
    <w:rsid w:val="00445D8B"/>
    <w:rsid w:val="004623D0"/>
    <w:rsid w:val="004F739C"/>
    <w:rsid w:val="00554DE4"/>
    <w:rsid w:val="005855BB"/>
    <w:rsid w:val="005909BE"/>
    <w:rsid w:val="00611767"/>
    <w:rsid w:val="00621C45"/>
    <w:rsid w:val="0062636B"/>
    <w:rsid w:val="0063300B"/>
    <w:rsid w:val="006818D0"/>
    <w:rsid w:val="006C3D4F"/>
    <w:rsid w:val="007A0F83"/>
    <w:rsid w:val="007C2CDF"/>
    <w:rsid w:val="00833B8E"/>
    <w:rsid w:val="00861A82"/>
    <w:rsid w:val="0089231E"/>
    <w:rsid w:val="008A7736"/>
    <w:rsid w:val="008C58A6"/>
    <w:rsid w:val="008C6EB8"/>
    <w:rsid w:val="009441C6"/>
    <w:rsid w:val="009462D8"/>
    <w:rsid w:val="00984323"/>
    <w:rsid w:val="009A12C8"/>
    <w:rsid w:val="009A4D2E"/>
    <w:rsid w:val="009F7500"/>
    <w:rsid w:val="00A27468"/>
    <w:rsid w:val="00A50102"/>
    <w:rsid w:val="00A5639D"/>
    <w:rsid w:val="00A7379D"/>
    <w:rsid w:val="00A80B6A"/>
    <w:rsid w:val="00A83A81"/>
    <w:rsid w:val="00AB1687"/>
    <w:rsid w:val="00AB1D16"/>
    <w:rsid w:val="00AB321F"/>
    <w:rsid w:val="00B305E2"/>
    <w:rsid w:val="00B77F7A"/>
    <w:rsid w:val="00BD59CA"/>
    <w:rsid w:val="00BE563E"/>
    <w:rsid w:val="00C452C9"/>
    <w:rsid w:val="00CA1127"/>
    <w:rsid w:val="00CB4199"/>
    <w:rsid w:val="00CD0AD4"/>
    <w:rsid w:val="00D525D3"/>
    <w:rsid w:val="00D619E9"/>
    <w:rsid w:val="00D65693"/>
    <w:rsid w:val="00D669CF"/>
    <w:rsid w:val="00DC4F06"/>
    <w:rsid w:val="00E26F48"/>
    <w:rsid w:val="00E5163D"/>
    <w:rsid w:val="00E874B3"/>
    <w:rsid w:val="00E911FE"/>
    <w:rsid w:val="00F01F00"/>
    <w:rsid w:val="00F24000"/>
    <w:rsid w:val="00F272F8"/>
    <w:rsid w:val="00F822C3"/>
    <w:rsid w:val="00F85776"/>
    <w:rsid w:val="00F97D6B"/>
    <w:rsid w:val="00FC589B"/>
    <w:rsid w:val="00FD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zh-CN"/>
    </w:rPr>
  </w:style>
  <w:style w:type="paragraph" w:styleId="Heading3">
    <w:name w:val="heading 3"/>
    <w:basedOn w:val="Normal"/>
    <w:next w:val="Normal"/>
    <w:qFormat/>
    <w:pPr>
      <w:keepNext/>
      <w:widowControl/>
      <w:ind w:right="-720"/>
      <w:outlineLvl w:val="2"/>
    </w:pPr>
    <w:rPr>
      <w:rFonts w:ascii="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next w:val="Title"/>
    <w:pPr>
      <w:suppressAutoHyphens/>
      <w:spacing w:before="120" w:after="360"/>
    </w:pPr>
    <w:rPr>
      <w:rFonts w:ascii="Arial" w:hAnsi="Arial" w:cs="Arial"/>
      <w:sz w:val="28"/>
      <w:szCs w:val="28"/>
    </w:rPr>
  </w:style>
  <w:style w:type="paragraph" w:styleId="Title">
    <w:name w:val="Title"/>
    <w:basedOn w:val="Number"/>
    <w:next w:val="Author"/>
    <w:qFormat/>
    <w:pPr>
      <w:spacing w:before="0" w:after="0"/>
    </w:pPr>
  </w:style>
  <w:style w:type="paragraph" w:customStyle="1" w:styleId="Author">
    <w:name w:val="Author"/>
    <w:basedOn w:val="Normal"/>
    <w:next w:val="copyright"/>
    <w:pPr>
      <w:suppressAutoHyphens/>
      <w:spacing w:after="480"/>
    </w:pPr>
    <w:rPr>
      <w:rFonts w:ascii="Arial" w:hAnsi="Arial" w:cs="Arial"/>
    </w:rPr>
  </w:style>
  <w:style w:type="paragraph" w:customStyle="1" w:styleId="copyright">
    <w:name w:val="copyright"/>
    <w:basedOn w:val="Author"/>
    <w:pPr>
      <w:suppressAutoHyphens w:val="0"/>
      <w:spacing w:after="0" w:line="140" w:lineRule="exact"/>
      <w:jc w:val="both"/>
    </w:pPr>
    <w:rPr>
      <w:sz w:val="12"/>
      <w:szCs w:val="12"/>
    </w:rPr>
  </w:style>
  <w:style w:type="paragraph" w:customStyle="1" w:styleId="Head1">
    <w:name w:val="Head1"/>
    <w:basedOn w:val="Normal"/>
    <w:next w:val="para"/>
    <w:link w:val="Head1Char"/>
    <w:pPr>
      <w:keepNext/>
      <w:suppressAutoHyphens/>
    </w:pPr>
    <w:rPr>
      <w:rFonts w:ascii="Arial" w:hAnsi="Arial" w:cs="Arial"/>
      <w:b/>
      <w:bCs/>
    </w:rPr>
  </w:style>
  <w:style w:type="paragraph" w:customStyle="1" w:styleId="para">
    <w:name w:val="para"/>
    <w:basedOn w:val="Normal"/>
    <w:next w:val="para1"/>
    <w:link w:val="paraChar"/>
    <w:pPr>
      <w:jc w:val="both"/>
    </w:pPr>
    <w:rPr>
      <w:rFonts w:ascii="Arial" w:hAnsi="Arial" w:cs="Arial"/>
    </w:rPr>
  </w:style>
  <w:style w:type="paragraph" w:customStyle="1" w:styleId="para1">
    <w:name w:val="para1"/>
    <w:basedOn w:val="para"/>
    <w:pPr>
      <w:ind w:firstLine="288"/>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Header">
    <w:name w:val="header"/>
    <w:basedOn w:val="Normal"/>
    <w:pPr>
      <w:tabs>
        <w:tab w:val="center" w:pos="5400"/>
        <w:tab w:val="right" w:pos="10800"/>
      </w:tabs>
      <w:suppressAutoHyphens/>
    </w:pPr>
    <w:rPr>
      <w:rFonts w:ascii="Arial" w:hAnsi="Arial" w:cs="Arial"/>
      <w:sz w:val="16"/>
      <w:szCs w:val="16"/>
    </w:rPr>
  </w:style>
  <w:style w:type="paragraph" w:customStyle="1" w:styleId="Nomenclature">
    <w:name w:val="Nomenclature"/>
    <w:basedOn w:val="para"/>
    <w:pPr>
      <w:tabs>
        <w:tab w:val="right" w:pos="806"/>
        <w:tab w:val="left" w:pos="878"/>
      </w:tabs>
      <w:suppressAutoHyphens/>
      <w:ind w:left="1032" w:hanging="1032"/>
      <w:jc w:val="left"/>
    </w:pPr>
    <w:rPr>
      <w:i/>
      <w:iCs/>
    </w:rPr>
  </w:style>
  <w:style w:type="paragraph" w:customStyle="1" w:styleId="References">
    <w:name w:val="References"/>
    <w:basedOn w:val="para"/>
    <w:link w:val="ReferencesChar"/>
    <w:pPr>
      <w:tabs>
        <w:tab w:val="right" w:pos="240"/>
        <w:tab w:val="left" w:pos="374"/>
      </w:tabs>
      <w:ind w:left="374" w:hanging="374"/>
    </w:pPr>
    <w:rPr>
      <w:sz w:val="18"/>
      <w:szCs w:val="18"/>
    </w:rPr>
  </w:style>
  <w:style w:type="paragraph" w:customStyle="1" w:styleId="Metric">
    <w:name w:val="Metric"/>
    <w:basedOn w:val="para"/>
    <w:pPr>
      <w:tabs>
        <w:tab w:val="right" w:pos="1152"/>
        <w:tab w:val="left" w:pos="1224"/>
        <w:tab w:val="right" w:pos="2866"/>
        <w:tab w:val="left" w:pos="2923"/>
      </w:tabs>
      <w:suppressAutoHyphens/>
    </w:pPr>
  </w:style>
  <w:style w:type="paragraph" w:customStyle="1" w:styleId="FigCaption">
    <w:name w:val="FigCaption"/>
    <w:basedOn w:val="Normal"/>
    <w:pPr>
      <w:ind w:left="720"/>
      <w:jc w:val="both"/>
      <w:outlineLvl w:val="0"/>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
    <w:name w:val=":-)"/>
    <w:rPr>
      <w:rFonts w:ascii="Arial" w:hAnsi="Arial" w:cs="Arial"/>
      <w:lang w:eastAsia="zh-CN"/>
    </w:rPr>
  </w:style>
  <w:style w:type="paragraph" w:customStyle="1" w:styleId="Equation">
    <w:name w:val="Equation"/>
    <w:basedOn w:val="para1"/>
    <w:next w:val="para"/>
    <w:pPr>
      <w:spacing w:before="100" w:after="100"/>
    </w:pPr>
  </w:style>
  <w:style w:type="paragraph" w:customStyle="1" w:styleId="rule">
    <w:name w:val="rule"/>
    <w:basedOn w:val="Normal"/>
    <w:next w:val="copyright"/>
    <w:rPr>
      <w:rFonts w:ascii="Arial" w:hAnsi="Arial" w:cs="Arial"/>
    </w:rPr>
  </w:style>
  <w:style w:type="paragraph" w:styleId="BodyText3">
    <w:name w:val="Body Text 3"/>
    <w:basedOn w:val="Normal"/>
    <w:pPr>
      <w:widowControl/>
      <w:spacing w:line="360" w:lineRule="auto"/>
      <w:ind w:right="-180"/>
    </w:pPr>
    <w:rPr>
      <w:rFonts w:ascii="Arial" w:hAnsi="Arial" w:cs="Arial"/>
    </w:rPr>
  </w:style>
  <w:style w:type="paragraph" w:styleId="PlainText">
    <w:name w:val="Plain Text"/>
    <w:basedOn w:val="Normal"/>
    <w:pPr>
      <w:widowControl/>
    </w:pPr>
    <w:rPr>
      <w:rFonts w:ascii="Courier New" w:hAnsi="Courier New" w:cs="Courier New"/>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customStyle="1" w:styleId="AADEParagraph">
    <w:name w:val="AADE Paragraph"/>
    <w:basedOn w:val="para"/>
    <w:link w:val="AADEParagraphChar"/>
    <w:qFormat/>
    <w:rsid w:val="0089231E"/>
    <w:pPr>
      <w:ind w:firstLine="288"/>
    </w:pPr>
    <w:rPr>
      <w:rFonts w:ascii="Times New Roman" w:hAnsi="Times New Roman" w:cs="Times New Roman"/>
    </w:rPr>
  </w:style>
  <w:style w:type="paragraph" w:customStyle="1" w:styleId="AADE1stLevelHeading">
    <w:name w:val="AADE 1st Level Heading"/>
    <w:basedOn w:val="Head1"/>
    <w:link w:val="AADE1stLevelHeadingChar"/>
    <w:qFormat/>
    <w:rsid w:val="0089231E"/>
    <w:pPr>
      <w:outlineLvl w:val="0"/>
    </w:pPr>
  </w:style>
  <w:style w:type="character" w:customStyle="1" w:styleId="paraChar">
    <w:name w:val="para Char"/>
    <w:basedOn w:val="DefaultParagraphFont"/>
    <w:link w:val="para"/>
    <w:rsid w:val="0089231E"/>
    <w:rPr>
      <w:rFonts w:ascii="Arial" w:hAnsi="Arial" w:cs="Arial"/>
      <w:lang w:eastAsia="zh-CN"/>
    </w:rPr>
  </w:style>
  <w:style w:type="character" w:customStyle="1" w:styleId="AADEParagraphChar">
    <w:name w:val="AADE Paragraph Char"/>
    <w:basedOn w:val="paraChar"/>
    <w:link w:val="AADEParagraph"/>
    <w:rsid w:val="0089231E"/>
    <w:rPr>
      <w:rFonts w:ascii="Arial" w:hAnsi="Arial" w:cs="Arial"/>
      <w:lang w:eastAsia="zh-CN"/>
    </w:rPr>
  </w:style>
  <w:style w:type="paragraph" w:customStyle="1" w:styleId="AADE2ndLevelHeading">
    <w:name w:val="AADE 2nd Level Heading"/>
    <w:basedOn w:val="para"/>
    <w:link w:val="AADE2ndLevelHeadingChar"/>
    <w:qFormat/>
    <w:rsid w:val="0089231E"/>
    <w:rPr>
      <w:b/>
      <w:i/>
    </w:rPr>
  </w:style>
  <w:style w:type="character" w:customStyle="1" w:styleId="Head1Char">
    <w:name w:val="Head1 Char"/>
    <w:basedOn w:val="DefaultParagraphFont"/>
    <w:link w:val="Head1"/>
    <w:rsid w:val="0089231E"/>
    <w:rPr>
      <w:rFonts w:ascii="Arial" w:hAnsi="Arial" w:cs="Arial"/>
      <w:b/>
      <w:bCs/>
      <w:lang w:eastAsia="zh-CN"/>
    </w:rPr>
  </w:style>
  <w:style w:type="character" w:customStyle="1" w:styleId="AADE1stLevelHeadingChar">
    <w:name w:val="AADE 1st Level Heading Char"/>
    <w:basedOn w:val="Head1Char"/>
    <w:link w:val="AADE1stLevelHeading"/>
    <w:rsid w:val="0089231E"/>
    <w:rPr>
      <w:rFonts w:ascii="Arial" w:hAnsi="Arial" w:cs="Arial"/>
      <w:b/>
      <w:bCs/>
      <w:lang w:eastAsia="zh-CN"/>
    </w:rPr>
  </w:style>
  <w:style w:type="paragraph" w:customStyle="1" w:styleId="AADEReferencees">
    <w:name w:val="AADE Referencees"/>
    <w:basedOn w:val="References"/>
    <w:link w:val="AADEReferenceesChar"/>
    <w:qFormat/>
    <w:rsid w:val="0089231E"/>
    <w:rPr>
      <w:rFonts w:ascii="Times New Roman" w:hAnsi="Times New Roman" w:cs="Times New Roman"/>
    </w:rPr>
  </w:style>
  <w:style w:type="character" w:customStyle="1" w:styleId="AADE2ndLevelHeadingChar">
    <w:name w:val="AADE 2nd Level Heading Char"/>
    <w:basedOn w:val="paraChar"/>
    <w:link w:val="AADE2ndLevelHeading"/>
    <w:rsid w:val="0089231E"/>
    <w:rPr>
      <w:rFonts w:ascii="Arial" w:hAnsi="Arial" w:cs="Arial"/>
      <w:b/>
      <w:i/>
      <w:lang w:eastAsia="zh-CN"/>
    </w:rPr>
  </w:style>
  <w:style w:type="paragraph" w:styleId="EndnoteText">
    <w:name w:val="endnote text"/>
    <w:basedOn w:val="Normal"/>
    <w:link w:val="EndnoteTextChar"/>
    <w:uiPriority w:val="99"/>
    <w:rsid w:val="00F85776"/>
    <w:pPr>
      <w:widowControl/>
    </w:pPr>
    <w:rPr>
      <w:sz w:val="22"/>
      <w:lang w:eastAsia="en-US"/>
    </w:rPr>
  </w:style>
  <w:style w:type="character" w:customStyle="1" w:styleId="ReferencesChar">
    <w:name w:val="References Char"/>
    <w:basedOn w:val="paraChar"/>
    <w:link w:val="References"/>
    <w:rsid w:val="0089231E"/>
    <w:rPr>
      <w:rFonts w:ascii="Arial" w:hAnsi="Arial" w:cs="Arial"/>
      <w:sz w:val="18"/>
      <w:szCs w:val="18"/>
      <w:lang w:eastAsia="zh-CN"/>
    </w:rPr>
  </w:style>
  <w:style w:type="character" w:customStyle="1" w:styleId="AADEReferenceesChar">
    <w:name w:val="AADE Referencees Char"/>
    <w:basedOn w:val="ReferencesChar"/>
    <w:link w:val="AADEReferencees"/>
    <w:rsid w:val="0089231E"/>
    <w:rPr>
      <w:rFonts w:ascii="Arial" w:hAnsi="Arial" w:cs="Arial"/>
      <w:sz w:val="18"/>
      <w:szCs w:val="18"/>
      <w:lang w:eastAsia="zh-CN"/>
    </w:rPr>
  </w:style>
  <w:style w:type="character" w:customStyle="1" w:styleId="EndnoteTextChar">
    <w:name w:val="Endnote Text Char"/>
    <w:basedOn w:val="DefaultParagraphFont"/>
    <w:link w:val="EndnoteText"/>
    <w:uiPriority w:val="99"/>
    <w:rsid w:val="00F85776"/>
    <w:rPr>
      <w:sz w:val="22"/>
    </w:rPr>
  </w:style>
  <w:style w:type="paragraph" w:styleId="ListParagraph">
    <w:name w:val="List Paragraph"/>
    <w:basedOn w:val="Normal"/>
    <w:uiPriority w:val="99"/>
    <w:qFormat/>
    <w:rsid w:val="007A0F83"/>
    <w:pPr>
      <w:widowControl/>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3150A3"/>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zh-CN"/>
    </w:rPr>
  </w:style>
  <w:style w:type="paragraph" w:styleId="Heading3">
    <w:name w:val="heading 3"/>
    <w:basedOn w:val="Normal"/>
    <w:next w:val="Normal"/>
    <w:qFormat/>
    <w:pPr>
      <w:keepNext/>
      <w:widowControl/>
      <w:ind w:right="-720"/>
      <w:outlineLvl w:val="2"/>
    </w:pPr>
    <w:rPr>
      <w:rFonts w:ascii="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next w:val="Title"/>
    <w:pPr>
      <w:suppressAutoHyphens/>
      <w:spacing w:before="120" w:after="360"/>
    </w:pPr>
    <w:rPr>
      <w:rFonts w:ascii="Arial" w:hAnsi="Arial" w:cs="Arial"/>
      <w:sz w:val="28"/>
      <w:szCs w:val="28"/>
    </w:rPr>
  </w:style>
  <w:style w:type="paragraph" w:styleId="Title">
    <w:name w:val="Title"/>
    <w:basedOn w:val="Number"/>
    <w:next w:val="Author"/>
    <w:qFormat/>
    <w:pPr>
      <w:spacing w:before="0" w:after="0"/>
    </w:pPr>
  </w:style>
  <w:style w:type="paragraph" w:customStyle="1" w:styleId="Author">
    <w:name w:val="Author"/>
    <w:basedOn w:val="Normal"/>
    <w:next w:val="copyright"/>
    <w:pPr>
      <w:suppressAutoHyphens/>
      <w:spacing w:after="480"/>
    </w:pPr>
    <w:rPr>
      <w:rFonts w:ascii="Arial" w:hAnsi="Arial" w:cs="Arial"/>
    </w:rPr>
  </w:style>
  <w:style w:type="paragraph" w:customStyle="1" w:styleId="copyright">
    <w:name w:val="copyright"/>
    <w:basedOn w:val="Author"/>
    <w:pPr>
      <w:suppressAutoHyphens w:val="0"/>
      <w:spacing w:after="0" w:line="140" w:lineRule="exact"/>
      <w:jc w:val="both"/>
    </w:pPr>
    <w:rPr>
      <w:sz w:val="12"/>
      <w:szCs w:val="12"/>
    </w:rPr>
  </w:style>
  <w:style w:type="paragraph" w:customStyle="1" w:styleId="Head1">
    <w:name w:val="Head1"/>
    <w:basedOn w:val="Normal"/>
    <w:next w:val="para"/>
    <w:link w:val="Head1Char"/>
    <w:pPr>
      <w:keepNext/>
      <w:suppressAutoHyphens/>
    </w:pPr>
    <w:rPr>
      <w:rFonts w:ascii="Arial" w:hAnsi="Arial" w:cs="Arial"/>
      <w:b/>
      <w:bCs/>
    </w:rPr>
  </w:style>
  <w:style w:type="paragraph" w:customStyle="1" w:styleId="para">
    <w:name w:val="para"/>
    <w:basedOn w:val="Normal"/>
    <w:next w:val="para1"/>
    <w:link w:val="paraChar"/>
    <w:pPr>
      <w:jc w:val="both"/>
    </w:pPr>
    <w:rPr>
      <w:rFonts w:ascii="Arial" w:hAnsi="Arial" w:cs="Arial"/>
    </w:rPr>
  </w:style>
  <w:style w:type="paragraph" w:customStyle="1" w:styleId="para1">
    <w:name w:val="para1"/>
    <w:basedOn w:val="para"/>
    <w:pPr>
      <w:ind w:firstLine="288"/>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Header">
    <w:name w:val="header"/>
    <w:basedOn w:val="Normal"/>
    <w:pPr>
      <w:tabs>
        <w:tab w:val="center" w:pos="5400"/>
        <w:tab w:val="right" w:pos="10800"/>
      </w:tabs>
      <w:suppressAutoHyphens/>
    </w:pPr>
    <w:rPr>
      <w:rFonts w:ascii="Arial" w:hAnsi="Arial" w:cs="Arial"/>
      <w:sz w:val="16"/>
      <w:szCs w:val="16"/>
    </w:rPr>
  </w:style>
  <w:style w:type="paragraph" w:customStyle="1" w:styleId="Nomenclature">
    <w:name w:val="Nomenclature"/>
    <w:basedOn w:val="para"/>
    <w:pPr>
      <w:tabs>
        <w:tab w:val="right" w:pos="806"/>
        <w:tab w:val="left" w:pos="878"/>
      </w:tabs>
      <w:suppressAutoHyphens/>
      <w:ind w:left="1032" w:hanging="1032"/>
      <w:jc w:val="left"/>
    </w:pPr>
    <w:rPr>
      <w:i/>
      <w:iCs/>
    </w:rPr>
  </w:style>
  <w:style w:type="paragraph" w:customStyle="1" w:styleId="References">
    <w:name w:val="References"/>
    <w:basedOn w:val="para"/>
    <w:link w:val="ReferencesChar"/>
    <w:pPr>
      <w:tabs>
        <w:tab w:val="right" w:pos="240"/>
        <w:tab w:val="left" w:pos="374"/>
      </w:tabs>
      <w:ind w:left="374" w:hanging="374"/>
    </w:pPr>
    <w:rPr>
      <w:sz w:val="18"/>
      <w:szCs w:val="18"/>
    </w:rPr>
  </w:style>
  <w:style w:type="paragraph" w:customStyle="1" w:styleId="Metric">
    <w:name w:val="Metric"/>
    <w:basedOn w:val="para"/>
    <w:pPr>
      <w:tabs>
        <w:tab w:val="right" w:pos="1152"/>
        <w:tab w:val="left" w:pos="1224"/>
        <w:tab w:val="right" w:pos="2866"/>
        <w:tab w:val="left" w:pos="2923"/>
      </w:tabs>
      <w:suppressAutoHyphens/>
    </w:pPr>
  </w:style>
  <w:style w:type="paragraph" w:customStyle="1" w:styleId="FigCaption">
    <w:name w:val="FigCaption"/>
    <w:basedOn w:val="Normal"/>
    <w:pPr>
      <w:ind w:left="720"/>
      <w:jc w:val="both"/>
      <w:outlineLvl w:val="0"/>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
    <w:name w:val=":-)"/>
    <w:rPr>
      <w:rFonts w:ascii="Arial" w:hAnsi="Arial" w:cs="Arial"/>
      <w:lang w:eastAsia="zh-CN"/>
    </w:rPr>
  </w:style>
  <w:style w:type="paragraph" w:customStyle="1" w:styleId="Equation">
    <w:name w:val="Equation"/>
    <w:basedOn w:val="para1"/>
    <w:next w:val="para"/>
    <w:pPr>
      <w:spacing w:before="100" w:after="100"/>
    </w:pPr>
  </w:style>
  <w:style w:type="paragraph" w:customStyle="1" w:styleId="rule">
    <w:name w:val="rule"/>
    <w:basedOn w:val="Normal"/>
    <w:next w:val="copyright"/>
    <w:rPr>
      <w:rFonts w:ascii="Arial" w:hAnsi="Arial" w:cs="Arial"/>
    </w:rPr>
  </w:style>
  <w:style w:type="paragraph" w:styleId="BodyText3">
    <w:name w:val="Body Text 3"/>
    <w:basedOn w:val="Normal"/>
    <w:pPr>
      <w:widowControl/>
      <w:spacing w:line="360" w:lineRule="auto"/>
      <w:ind w:right="-180"/>
    </w:pPr>
    <w:rPr>
      <w:rFonts w:ascii="Arial" w:hAnsi="Arial" w:cs="Arial"/>
    </w:rPr>
  </w:style>
  <w:style w:type="paragraph" w:styleId="PlainText">
    <w:name w:val="Plain Text"/>
    <w:basedOn w:val="Normal"/>
    <w:pPr>
      <w:widowControl/>
    </w:pPr>
    <w:rPr>
      <w:rFonts w:ascii="Courier New" w:hAnsi="Courier New" w:cs="Courier New"/>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customStyle="1" w:styleId="AADEParagraph">
    <w:name w:val="AADE Paragraph"/>
    <w:basedOn w:val="para"/>
    <w:link w:val="AADEParagraphChar"/>
    <w:qFormat/>
    <w:rsid w:val="0089231E"/>
    <w:pPr>
      <w:ind w:firstLine="288"/>
    </w:pPr>
    <w:rPr>
      <w:rFonts w:ascii="Times New Roman" w:hAnsi="Times New Roman" w:cs="Times New Roman"/>
    </w:rPr>
  </w:style>
  <w:style w:type="paragraph" w:customStyle="1" w:styleId="AADE1stLevelHeading">
    <w:name w:val="AADE 1st Level Heading"/>
    <w:basedOn w:val="Head1"/>
    <w:link w:val="AADE1stLevelHeadingChar"/>
    <w:qFormat/>
    <w:rsid w:val="0089231E"/>
    <w:pPr>
      <w:outlineLvl w:val="0"/>
    </w:pPr>
  </w:style>
  <w:style w:type="character" w:customStyle="1" w:styleId="paraChar">
    <w:name w:val="para Char"/>
    <w:basedOn w:val="DefaultParagraphFont"/>
    <w:link w:val="para"/>
    <w:rsid w:val="0089231E"/>
    <w:rPr>
      <w:rFonts w:ascii="Arial" w:hAnsi="Arial" w:cs="Arial"/>
      <w:lang w:eastAsia="zh-CN"/>
    </w:rPr>
  </w:style>
  <w:style w:type="character" w:customStyle="1" w:styleId="AADEParagraphChar">
    <w:name w:val="AADE Paragraph Char"/>
    <w:basedOn w:val="paraChar"/>
    <w:link w:val="AADEParagraph"/>
    <w:rsid w:val="0089231E"/>
    <w:rPr>
      <w:rFonts w:ascii="Arial" w:hAnsi="Arial" w:cs="Arial"/>
      <w:lang w:eastAsia="zh-CN"/>
    </w:rPr>
  </w:style>
  <w:style w:type="paragraph" w:customStyle="1" w:styleId="AADE2ndLevelHeading">
    <w:name w:val="AADE 2nd Level Heading"/>
    <w:basedOn w:val="para"/>
    <w:link w:val="AADE2ndLevelHeadingChar"/>
    <w:qFormat/>
    <w:rsid w:val="0089231E"/>
    <w:rPr>
      <w:b/>
      <w:i/>
    </w:rPr>
  </w:style>
  <w:style w:type="character" w:customStyle="1" w:styleId="Head1Char">
    <w:name w:val="Head1 Char"/>
    <w:basedOn w:val="DefaultParagraphFont"/>
    <w:link w:val="Head1"/>
    <w:rsid w:val="0089231E"/>
    <w:rPr>
      <w:rFonts w:ascii="Arial" w:hAnsi="Arial" w:cs="Arial"/>
      <w:b/>
      <w:bCs/>
      <w:lang w:eastAsia="zh-CN"/>
    </w:rPr>
  </w:style>
  <w:style w:type="character" w:customStyle="1" w:styleId="AADE1stLevelHeadingChar">
    <w:name w:val="AADE 1st Level Heading Char"/>
    <w:basedOn w:val="Head1Char"/>
    <w:link w:val="AADE1stLevelHeading"/>
    <w:rsid w:val="0089231E"/>
    <w:rPr>
      <w:rFonts w:ascii="Arial" w:hAnsi="Arial" w:cs="Arial"/>
      <w:b/>
      <w:bCs/>
      <w:lang w:eastAsia="zh-CN"/>
    </w:rPr>
  </w:style>
  <w:style w:type="paragraph" w:customStyle="1" w:styleId="AADEReferencees">
    <w:name w:val="AADE Referencees"/>
    <w:basedOn w:val="References"/>
    <w:link w:val="AADEReferenceesChar"/>
    <w:qFormat/>
    <w:rsid w:val="0089231E"/>
    <w:rPr>
      <w:rFonts w:ascii="Times New Roman" w:hAnsi="Times New Roman" w:cs="Times New Roman"/>
    </w:rPr>
  </w:style>
  <w:style w:type="character" w:customStyle="1" w:styleId="AADE2ndLevelHeadingChar">
    <w:name w:val="AADE 2nd Level Heading Char"/>
    <w:basedOn w:val="paraChar"/>
    <w:link w:val="AADE2ndLevelHeading"/>
    <w:rsid w:val="0089231E"/>
    <w:rPr>
      <w:rFonts w:ascii="Arial" w:hAnsi="Arial" w:cs="Arial"/>
      <w:b/>
      <w:i/>
      <w:lang w:eastAsia="zh-CN"/>
    </w:rPr>
  </w:style>
  <w:style w:type="paragraph" w:styleId="EndnoteText">
    <w:name w:val="endnote text"/>
    <w:basedOn w:val="Normal"/>
    <w:link w:val="EndnoteTextChar"/>
    <w:uiPriority w:val="99"/>
    <w:rsid w:val="00F85776"/>
    <w:pPr>
      <w:widowControl/>
    </w:pPr>
    <w:rPr>
      <w:sz w:val="22"/>
      <w:lang w:eastAsia="en-US"/>
    </w:rPr>
  </w:style>
  <w:style w:type="character" w:customStyle="1" w:styleId="ReferencesChar">
    <w:name w:val="References Char"/>
    <w:basedOn w:val="paraChar"/>
    <w:link w:val="References"/>
    <w:rsid w:val="0089231E"/>
    <w:rPr>
      <w:rFonts w:ascii="Arial" w:hAnsi="Arial" w:cs="Arial"/>
      <w:sz w:val="18"/>
      <w:szCs w:val="18"/>
      <w:lang w:eastAsia="zh-CN"/>
    </w:rPr>
  </w:style>
  <w:style w:type="character" w:customStyle="1" w:styleId="AADEReferenceesChar">
    <w:name w:val="AADE Referencees Char"/>
    <w:basedOn w:val="ReferencesChar"/>
    <w:link w:val="AADEReferencees"/>
    <w:rsid w:val="0089231E"/>
    <w:rPr>
      <w:rFonts w:ascii="Arial" w:hAnsi="Arial" w:cs="Arial"/>
      <w:sz w:val="18"/>
      <w:szCs w:val="18"/>
      <w:lang w:eastAsia="zh-CN"/>
    </w:rPr>
  </w:style>
  <w:style w:type="character" w:customStyle="1" w:styleId="EndnoteTextChar">
    <w:name w:val="Endnote Text Char"/>
    <w:basedOn w:val="DefaultParagraphFont"/>
    <w:link w:val="EndnoteText"/>
    <w:uiPriority w:val="99"/>
    <w:rsid w:val="00F85776"/>
    <w:rPr>
      <w:sz w:val="22"/>
    </w:rPr>
  </w:style>
  <w:style w:type="paragraph" w:styleId="ListParagraph">
    <w:name w:val="List Paragraph"/>
    <w:basedOn w:val="Normal"/>
    <w:uiPriority w:val="99"/>
    <w:qFormat/>
    <w:rsid w:val="007A0F83"/>
    <w:pPr>
      <w:widowControl/>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3150A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2.emf"/><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72B1-E1C9-B444-AC48-B0CB5A0A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4295</Words>
  <Characters>24485</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AADE Template</vt:lpstr>
    </vt:vector>
  </TitlesOfParts>
  <Company>Chevron</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AADE Template</dc:title>
  <dc:subject>MSWord</dc:subject>
  <dc:creator>Mary Dimataris</dc:creator>
  <cp:lastModifiedBy>Andy Bradbury</cp:lastModifiedBy>
  <cp:revision>2</cp:revision>
  <cp:lastPrinted>2006-01-04T14:47:00Z</cp:lastPrinted>
  <dcterms:created xsi:type="dcterms:W3CDTF">2013-02-04T09:28:00Z</dcterms:created>
  <dcterms:modified xsi:type="dcterms:W3CDTF">2013-02-04T09:28:00Z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Witham C u410711</vt:lpwstr>
  </property>
  <property fmtid="{D5CDD505-2E9C-101B-9397-08002B2CF9AE}" pid="3" name="Information_Classification">
    <vt:lpwstr/>
  </property>
  <property fmtid="{D5CDD505-2E9C-101B-9397-08002B2CF9AE}" pid="4" name="Record_Title_ID">
    <vt:lpwstr>73</vt:lpwstr>
  </property>
  <property fmtid="{D5CDD505-2E9C-101B-9397-08002B2CF9AE}" pid="5" name="Initial_Creation_Date">
    <vt:lpwstr>2/1/2013 8:45:10 AM</vt:lpwstr>
  </property>
  <property fmtid="{D5CDD505-2E9C-101B-9397-08002B2CF9AE}" pid="6" name="Retention_Period_Start_Date">
    <vt:lpwstr>2/1/2013 8:45:10 AM</vt:lpwstr>
  </property>
  <property fmtid="{D5CDD505-2E9C-101B-9397-08002B2CF9AE}" pid="7" name="Last_Reviewed_Date">
    <vt:lpwstr/>
  </property>
  <property fmtid="{D5CDD505-2E9C-101B-9397-08002B2CF9AE}" pid="8" name="Retention_Review_Frequency">
    <vt:lpwstr/>
  </property>
  <property fmtid="{D5CDD505-2E9C-101B-9397-08002B2CF9AE}" pid="9" name="_AdHocReviewCycleID">
    <vt:i4>-2076241123</vt:i4>
  </property>
  <property fmtid="{D5CDD505-2E9C-101B-9397-08002B2CF9AE}" pid="10" name="_NewReviewCycle">
    <vt:lpwstr/>
  </property>
  <property fmtid="{D5CDD505-2E9C-101B-9397-08002B2CF9AE}" pid="11" name="_EmailSubject">
    <vt:lpwstr>X013 -unaudited % degradation results up to day 14</vt:lpwstr>
  </property>
  <property fmtid="{D5CDD505-2E9C-101B-9397-08002B2CF9AE}" pid="12" name="_AuthorEmail">
    <vt:lpwstr>CAWitham@dow.com</vt:lpwstr>
  </property>
  <property fmtid="{D5CDD505-2E9C-101B-9397-08002B2CF9AE}" pid="13" name="_AuthorEmailDisplayName">
    <vt:lpwstr>Witham, Cole (CA)</vt:lpwstr>
  </property>
  <property fmtid="{D5CDD505-2E9C-101B-9397-08002B2CF9AE}" pid="14" name="_PreviousAdHocReviewCycleID">
    <vt:i4>-1541593859</vt:i4>
  </property>
  <property fmtid="{D5CDD505-2E9C-101B-9397-08002B2CF9AE}" pid="15" name="lqminfo">
    <vt:i4>1</vt:i4>
  </property>
  <property fmtid="{D5CDD505-2E9C-101B-9397-08002B2CF9AE}" pid="16" name="lqmsess">
    <vt:lpwstr>342fff46-322e-44a0-a0d1-7f764b6317ba</vt:lpwstr>
  </property>
</Properties>
</file>